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3" w:rsidRDefault="006D6FC3" w:rsidP="00296A61">
      <w:pPr>
        <w:spacing w:after="0" w:line="240" w:lineRule="auto"/>
        <w:ind w:firstLine="360"/>
        <w:rPr>
          <w:b/>
          <w:sz w:val="28"/>
          <w:szCs w:val="28"/>
        </w:rPr>
      </w:pPr>
    </w:p>
    <w:p w:rsidR="006D6FC3" w:rsidRPr="00FA50D1" w:rsidRDefault="006D6FC3" w:rsidP="006D6FC3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1">
        <w:rPr>
          <w:rFonts w:ascii="Times New Roman" w:hAnsi="Times New Roman" w:cs="Times New Roman"/>
          <w:b/>
          <w:sz w:val="28"/>
          <w:szCs w:val="28"/>
        </w:rPr>
        <w:t>КОМУНАЛЬНЕ ПІДПРИЄМСТВО</w:t>
      </w:r>
    </w:p>
    <w:p w:rsidR="006D6FC3" w:rsidRPr="00FA50D1" w:rsidRDefault="006D6FC3" w:rsidP="006D6FC3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1">
        <w:rPr>
          <w:rFonts w:ascii="Times New Roman" w:hAnsi="Times New Roman" w:cs="Times New Roman"/>
          <w:b/>
          <w:sz w:val="28"/>
          <w:szCs w:val="28"/>
        </w:rPr>
        <w:t>«ТЕРНОПІЛЬСЬКИЙ МІСЬКИЙ ЛІКУВАЛЬНО_ДІАГНОСТИЧНИЙ ЦЕНТР» ТЕРНОПІЛЬСЬКОЇ МІСЬКОЇ РАДИ</w:t>
      </w:r>
    </w:p>
    <w:p w:rsidR="006D6FC3" w:rsidRDefault="006D6FC3" w:rsidP="00296A61">
      <w:pPr>
        <w:spacing w:after="0" w:line="240" w:lineRule="auto"/>
        <w:ind w:firstLine="360"/>
        <w:rPr>
          <w:b/>
          <w:sz w:val="28"/>
          <w:szCs w:val="28"/>
        </w:rPr>
      </w:pPr>
    </w:p>
    <w:p w:rsidR="006D6FC3" w:rsidRDefault="006D6FC3" w:rsidP="00296A61">
      <w:pPr>
        <w:spacing w:after="0" w:line="240" w:lineRule="auto"/>
        <w:ind w:firstLine="360"/>
        <w:rPr>
          <w:b/>
          <w:sz w:val="28"/>
          <w:szCs w:val="28"/>
        </w:rPr>
      </w:pPr>
    </w:p>
    <w:p w:rsidR="00296A61" w:rsidRPr="00152F11" w:rsidRDefault="00296A61" w:rsidP="00296A61">
      <w:pPr>
        <w:spacing w:after="0" w:line="240" w:lineRule="auto"/>
        <w:ind w:firstLine="360"/>
        <w:rPr>
          <w:b/>
          <w:sz w:val="28"/>
          <w:szCs w:val="28"/>
        </w:rPr>
      </w:pPr>
      <w:r w:rsidRPr="00152F11">
        <w:rPr>
          <w:b/>
          <w:sz w:val="28"/>
          <w:szCs w:val="28"/>
        </w:rPr>
        <w:t>13. Істотні передбачувані фактори ризику:</w:t>
      </w:r>
    </w:p>
    <w:p w:rsidR="00296A61" w:rsidRDefault="00296A61" w:rsidP="00296A61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1.Зовнішні фактори ризику діяльності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«ТМЛДЦ» ТМР:</w:t>
      </w:r>
    </w:p>
    <w:p w:rsidR="00296A61" w:rsidRDefault="00296A61" w:rsidP="00296A61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конкурентоздатність підприємства на ринку медичних послуг м. Тернопіль (своєчасне оновлення матеріально-технічної бази та навчання персоналу);</w:t>
      </w:r>
    </w:p>
    <w:p w:rsidR="00296A61" w:rsidRDefault="00296A61" w:rsidP="00296A61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погіршення економічної ситуації - неспроможність  оплачувати надані медичні послуги населенням або Національною службою здоров</w:t>
      </w:r>
      <w:r>
        <w:rPr>
          <w:rFonts w:cstheme="minorHAnsi"/>
          <w:sz w:val="28"/>
          <w:szCs w:val="28"/>
        </w:rPr>
        <w:t>'</w:t>
      </w:r>
      <w:r>
        <w:rPr>
          <w:sz w:val="28"/>
          <w:szCs w:val="28"/>
        </w:rPr>
        <w:t>я України.</w:t>
      </w:r>
    </w:p>
    <w:p w:rsidR="00296A61" w:rsidRDefault="00296A61" w:rsidP="00296A61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Внутрішні  фактори ризику діяльності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«ТМЛДЦ» ТМР:</w:t>
      </w:r>
    </w:p>
    <w:p w:rsidR="00296A61" w:rsidRDefault="00296A61" w:rsidP="00296A61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мотивація діяльності медичного персоналу, відсутність адекватного матеріального забезпечення потреб та ризик професійних захворювань, зокрема, небезпека інфікування COVID-2019.</w:t>
      </w:r>
    </w:p>
    <w:p w:rsidR="00A403FE" w:rsidRDefault="00A403FE"/>
    <w:sectPr w:rsidR="00A403FE" w:rsidSect="00FE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6A61"/>
    <w:rsid w:val="00296A61"/>
    <w:rsid w:val="006D6FC3"/>
    <w:rsid w:val="00A403FE"/>
    <w:rsid w:val="00FE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2020-10-27T09:41:00Z</dcterms:created>
  <dcterms:modified xsi:type="dcterms:W3CDTF">2020-10-27T09:42:00Z</dcterms:modified>
</cp:coreProperties>
</file>