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numPr>
          <w:ilvl w:val="0"/>
          <w:numId w:val="0"/>
        </w:numPr>
        <w:ind w:left="0" w:hanging="0"/>
        <w:outlineLvl w:val="0"/>
        <w:rPr>
          <w:rFonts w:ascii="Arial" w:hAnsi="Arial" w:cs="Arial"/>
          <w:lang w:val="uk-UA"/>
        </w:rPr>
      </w:pPr>
      <w:bookmarkStart w:id="0" w:name="_Toc11053563"/>
      <w:r>
        <w:rPr>
          <w:rFonts w:cs="Arial" w:ascii="Arial" w:hAnsi="Arial"/>
          <w:lang w:val="uk-UA"/>
        </w:rPr>
        <w:t>27. ФІНАНСОВІ РИЗИКИ</w:t>
      </w:r>
      <w:bookmarkEnd w:id="0"/>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Функція управління ризиками в Компанії здійснюється у відношенні фінансових ризиків, операційних ризиків та юридичних ризиків. Фінансові ризики включають ринковий ризик (в тому числі валютний ризик, процентний ризик та інші цінові ризики), кредитний ризик та ризик ліквідності. Основні цілі управління фінансовими ризиками є визначення лімітів ризику та забезпечення рівня ризику у визначених межах. Метою управління операційними та юридичними ризиками є забезпечення належного дотримання внутрішніх регламентів і процедур з метою мінімізації таких ризиків.</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Управління ризиками здійснюється керівництвом Компанії в тісному взаємозв’язку з функціональними підрозділами та у відповідності до політики, затвердженої власником. Фінансовий відділ Компанії визначає, оцінює і пропонує методи мінімізації ризиків.</w:t>
      </w:r>
    </w:p>
    <w:p>
      <w:pPr>
        <w:pStyle w:val="Normal"/>
        <w:spacing w:lineRule="auto" w:line="240" w:before="0" w:after="0"/>
        <w:rPr>
          <w:rFonts w:ascii="Arial" w:hAnsi="Arial" w:cs="Arial"/>
          <w:sz w:val="16"/>
          <w:szCs w:val="16"/>
          <w:lang w:val="uk-UA"/>
        </w:rPr>
      </w:pPr>
      <w:r>
        <w:rPr>
          <w:rFonts w:cs="Arial" w:ascii="Arial" w:hAnsi="Arial"/>
          <w:sz w:val="16"/>
          <w:szCs w:val="1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b/>
          <w:bCs/>
          <w:sz w:val="24"/>
          <w:szCs w:val="24"/>
          <w:lang w:val="uk-UA"/>
        </w:rPr>
        <w:t>Кредитний ризик</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Компанія знаходиться під впливом кредитного ризику, який представляє собою ризик того, що одна сторона фінансового інструменту призведе до фінансових втрат для іншої сторони внаслідок невиконання зобов’язання за договором. Кредитний ризик виникає в результаті надання послуг Компанією на умовах кредиту та інших угод з контрагентами, внаслідок яких виникають фінансові активи.</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Фінансові інструменти, за якими у Компанії може з’явитися значний кредитний ризик, представлені в основному дебіторською заборгованістю і грошовими коштами та їх еквівалентами.</w:t>
      </w:r>
    </w:p>
    <w:p>
      <w:pPr>
        <w:pStyle w:val="Normal"/>
        <w:spacing w:lineRule="auto" w:line="240" w:before="0" w:after="0"/>
        <w:jc w:val="both"/>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У наступній таблиці представлений максимальний розмір кредитного ризику за компонентами Звіту про фінансовий стан:</w:t>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r>
    </w:p>
    <w:p>
      <w:pPr>
        <w:pStyle w:val="Normal"/>
        <w:spacing w:lineRule="auto" w:line="240" w:before="0" w:after="0"/>
        <w:jc w:val="both"/>
        <w:rPr>
          <w:rFonts w:ascii="Arial" w:hAnsi="Arial" w:cs="Arial"/>
          <w:sz w:val="24"/>
          <w:szCs w:val="24"/>
          <w:lang w:val="uk-UA"/>
        </w:rPr>
      </w:pPr>
      <w:r>
        <w:rPr>
          <w:rFonts w:cs="Arial" w:ascii="Arial" w:hAnsi="Arial"/>
          <w:sz w:val="24"/>
          <w:szCs w:val="24"/>
          <w:lang w:val="uk-UA"/>
        </w:rPr>
      </w:r>
    </w:p>
    <w:tbl>
      <w:tblPr>
        <w:tblW w:w="9364" w:type="dxa"/>
        <w:jc w:val="left"/>
        <w:tblInd w:w="108" w:type="dxa"/>
        <w:tblCellMar>
          <w:top w:w="0" w:type="dxa"/>
          <w:left w:w="108" w:type="dxa"/>
          <w:bottom w:w="0" w:type="dxa"/>
          <w:right w:w="108" w:type="dxa"/>
        </w:tblCellMar>
        <w:tblLook w:firstRow="1" w:noVBand="0" w:lastRow="1" w:firstColumn="1" w:lastColumn="1" w:noHBand="0" w:val="01e0"/>
      </w:tblPr>
      <w:tblGrid>
        <w:gridCol w:w="6095"/>
        <w:gridCol w:w="1502"/>
        <w:gridCol w:w="235"/>
        <w:gridCol w:w="1531"/>
      </w:tblGrid>
      <w:tr>
        <w:trPr>
          <w:trHeight w:val="20" w:hRule="atLeast"/>
        </w:trPr>
        <w:tc>
          <w:tcPr>
            <w:tcW w:w="6095" w:type="dxa"/>
            <w:tcBorders/>
          </w:tcPr>
          <w:p>
            <w:pPr>
              <w:pStyle w:val="Normal"/>
              <w:spacing w:lineRule="auto" w:line="240" w:before="0" w:after="0"/>
              <w:ind w:hanging="193"/>
              <w:rPr>
                <w:rFonts w:ascii="Arial" w:hAnsi="Arial" w:cs="Arial"/>
                <w:lang w:val="uk-UA"/>
              </w:rPr>
            </w:pPr>
            <w:r>
              <w:rPr>
                <w:rFonts w:cs="Arial" w:ascii="Arial" w:hAnsi="Arial"/>
                <w:lang w:val="uk-UA"/>
              </w:rPr>
            </w:r>
          </w:p>
        </w:tc>
        <w:tc>
          <w:tcPr>
            <w:tcW w:w="1502"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2019</w:t>
            </w:r>
          </w:p>
        </w:tc>
        <w:tc>
          <w:tcPr>
            <w:tcW w:w="235" w:type="dxa"/>
            <w:tcBorders/>
            <w:vAlign w:val="center"/>
          </w:tcPr>
          <w:p>
            <w:pPr>
              <w:pStyle w:val="Normal"/>
              <w:spacing w:lineRule="auto" w:line="240" w:before="0" w:after="0"/>
              <w:ind w:left="-108" w:right="-108" w:hanging="0"/>
              <w:jc w:val="center"/>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2018</w:t>
            </w:r>
          </w:p>
        </w:tc>
      </w:tr>
      <w:tr>
        <w:trPr>
          <w:trHeight w:val="20" w:hRule="atLeast"/>
        </w:trPr>
        <w:tc>
          <w:tcPr>
            <w:tcW w:w="609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Торгова та інша дебіторська заборгованість</w:t>
            </w:r>
          </w:p>
        </w:tc>
        <w:tc>
          <w:tcPr>
            <w:tcW w:w="1502"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237,989</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155,633</w:t>
            </w:r>
          </w:p>
        </w:tc>
      </w:tr>
      <w:tr>
        <w:trPr>
          <w:trHeight w:val="20" w:hRule="atLeast"/>
        </w:trPr>
        <w:tc>
          <w:tcPr>
            <w:tcW w:w="609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Державні дотації до отримання</w:t>
            </w:r>
          </w:p>
        </w:tc>
        <w:tc>
          <w:tcPr>
            <w:tcW w:w="1502"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r>
      <w:tr>
        <w:trPr>
          <w:trHeight w:val="20" w:hRule="atLeast"/>
        </w:trPr>
        <w:tc>
          <w:tcPr>
            <w:tcW w:w="609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Грошові кошти та їх еквіваленти</w:t>
            </w:r>
          </w:p>
        </w:tc>
        <w:tc>
          <w:tcPr>
            <w:tcW w:w="1502"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95,471</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149,468</w:t>
            </w:r>
          </w:p>
        </w:tc>
      </w:tr>
      <w:tr>
        <w:trPr>
          <w:trHeight w:val="20" w:hRule="atLeast"/>
        </w:trPr>
        <w:tc>
          <w:tcPr>
            <w:tcW w:w="609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Загальний розмір кредитного ризику</w:t>
            </w:r>
          </w:p>
        </w:tc>
        <w:tc>
          <w:tcPr>
            <w:tcW w:w="1502"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335,253</w:t>
            </w:r>
          </w:p>
        </w:tc>
        <w:tc>
          <w:tcPr>
            <w:tcW w:w="235" w:type="dxa"/>
            <w:tcBorders/>
            <w:vAlign w:val="center"/>
          </w:tcPr>
          <w:p>
            <w:pPr>
              <w:pStyle w:val="Normal"/>
              <w:spacing w:lineRule="auto" w:line="240" w:before="0" w:after="0"/>
              <w:jc w:val="right"/>
              <w:rPr>
                <w:rFonts w:ascii="Arial" w:hAnsi="Arial" w:cs="Arial"/>
                <w:b/>
                <w:b/>
                <w:lang w:val="uk-UA"/>
              </w:rPr>
            </w:pPr>
            <w:r>
              <w:rPr>
                <w:rFonts w:cs="Arial" w:ascii="Arial" w:hAnsi="Arial"/>
                <w:b/>
                <w:lang w:val="uk-UA"/>
              </w:rPr>
            </w:r>
          </w:p>
        </w:tc>
        <w:tc>
          <w:tcPr>
            <w:tcW w:w="1531"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306,894</w:t>
            </w:r>
          </w:p>
        </w:tc>
      </w:tr>
    </w:tbl>
    <w:p>
      <w:pPr>
        <w:pStyle w:val="Normal"/>
        <w:spacing w:lineRule="auto" w:line="240" w:before="0" w:after="0"/>
        <w:jc w:val="both"/>
        <w:rPr>
          <w:rFonts w:ascii="Arial" w:hAnsi="Arial" w:eastAsia="Garamond" w:cs="Arial"/>
          <w:sz w:val="10"/>
          <w:szCs w:val="10"/>
          <w:lang w:val="uk-UA"/>
        </w:rPr>
      </w:pPr>
      <w:r>
        <w:rPr>
          <w:rFonts w:eastAsia="Garamond"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Компанія відстежує та аналізує кредитний ризик для кожного конкретного випадку на індивідуальній основі та ґрунтуючись на історичному досвіді. Керівництво Компанії вважає, що немає суттєвих ризиків втрат через зниження вартості активів. Максимальний розмір кредитного ризику Компанії за класами активів представлений балансовою вартістю фінансових активів у Звіті про фінансовий стан.</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Керівництво Компанії здійснює аналіз торгової дебіторської заборгованості, що підлягає сплаті споживачами послуг теплопостачання та гарячого водопостачання, за строками її виникнення та стежить за простроченими залишками.</w:t>
      </w:r>
    </w:p>
    <w:p>
      <w:pPr>
        <w:pStyle w:val="Normal"/>
        <w:spacing w:lineRule="auto" w:line="240" w:before="0" w:after="0"/>
        <w:rPr>
          <w:rFonts w:ascii="Arial" w:hAnsi="Arial" w:cs="Arial"/>
          <w:color w:val="0070C0"/>
          <w:sz w:val="6"/>
          <w:szCs w:val="6"/>
          <w:lang w:val="uk-UA"/>
        </w:rPr>
      </w:pPr>
      <w:r>
        <w:rPr>
          <w:rFonts w:cs="Arial" w:ascii="Arial" w:hAnsi="Arial"/>
          <w:color w:val="0070C0"/>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Аналіз дебіторської заборгованості за строками виникнення станом на 31 грудня 2019 р. та 31 грудня 2018 р. представлений наступним чином:</w:t>
      </w:r>
    </w:p>
    <w:p>
      <w:pPr>
        <w:pStyle w:val="Normal"/>
        <w:spacing w:lineRule="auto" w:line="240" w:before="0" w:after="0"/>
        <w:jc w:val="both"/>
        <w:rPr>
          <w:rFonts w:ascii="Arial" w:hAnsi="Arial" w:eastAsia="Garamond" w:cs="Arial"/>
          <w:sz w:val="10"/>
          <w:szCs w:val="10"/>
          <w:lang w:val="uk-UA"/>
        </w:rPr>
      </w:pPr>
      <w:r>
        <w:rPr>
          <w:rFonts w:eastAsia="Garamond" w:cs="Arial" w:ascii="Arial" w:hAnsi="Arial"/>
          <w:sz w:val="10"/>
          <w:szCs w:val="10"/>
          <w:lang w:val="uk-UA"/>
        </w:rPr>
      </w:r>
    </w:p>
    <w:tbl>
      <w:tblPr>
        <w:tblW w:w="9600" w:type="dxa"/>
        <w:jc w:val="left"/>
        <w:tblInd w:w="108" w:type="dxa"/>
        <w:tblCellMar>
          <w:top w:w="0" w:type="dxa"/>
          <w:left w:w="108" w:type="dxa"/>
          <w:bottom w:w="0" w:type="dxa"/>
          <w:right w:w="108" w:type="dxa"/>
        </w:tblCellMar>
        <w:tblLook w:firstRow="1" w:noVBand="0" w:lastRow="1" w:firstColumn="1" w:lastColumn="1" w:noHBand="0" w:val="01e0"/>
      </w:tblPr>
      <w:tblGrid>
        <w:gridCol w:w="6065"/>
        <w:gridCol w:w="1531"/>
        <w:gridCol w:w="235"/>
        <w:gridCol w:w="1531"/>
        <w:gridCol w:w="238"/>
      </w:tblGrid>
      <w:tr>
        <w:trPr>
          <w:trHeight w:val="20" w:hRule="atLeast"/>
        </w:trPr>
        <w:tc>
          <w:tcPr>
            <w:tcW w:w="6065" w:type="dxa"/>
            <w:tcBorders/>
          </w:tcPr>
          <w:p>
            <w:pPr>
              <w:pStyle w:val="Normal"/>
              <w:spacing w:lineRule="auto" w:line="240" w:before="0" w:after="0"/>
              <w:rPr>
                <w:rFonts w:ascii="Arial" w:hAnsi="Arial" w:eastAsia="Garamond" w:cs="Arial"/>
                <w:lang w:val="uk-UA"/>
              </w:rPr>
            </w:pPr>
            <w:r>
              <w:rPr>
                <w:rFonts w:eastAsia="Garamond" w:cs="Arial" w:ascii="Arial" w:hAnsi="Arial"/>
                <w:lang w:val="uk-UA"/>
              </w:rPr>
            </w:r>
          </w:p>
        </w:tc>
        <w:tc>
          <w:tcPr>
            <w:tcW w:w="1531" w:type="dxa"/>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2019</w:t>
            </w:r>
          </w:p>
        </w:tc>
        <w:tc>
          <w:tcPr>
            <w:tcW w:w="235" w:type="dxa"/>
            <w:tcBorders/>
            <w:vAlign w:val="center"/>
          </w:tcPr>
          <w:p>
            <w:pPr>
              <w:pStyle w:val="Normal"/>
              <w:spacing w:lineRule="auto" w:line="240" w:before="0" w:after="0"/>
              <w:ind w:left="-108" w:right="-108" w:hanging="0"/>
              <w:jc w:val="center"/>
              <w:rPr>
                <w:rFonts w:ascii="Arial" w:hAnsi="Arial" w:cs="Arial"/>
                <w:lang w:val="uk-UA"/>
              </w:rPr>
            </w:pPr>
            <w:r>
              <w:rPr>
                <w:rFonts w:cs="Arial" w:ascii="Arial" w:hAnsi="Arial"/>
                <w:lang w:val="uk-UA"/>
              </w:rPr>
            </w:r>
          </w:p>
        </w:tc>
        <w:tc>
          <w:tcPr>
            <w:tcW w:w="1531" w:type="dxa"/>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2018</w:t>
            </w:r>
          </w:p>
        </w:tc>
        <w:tc>
          <w:tcPr>
            <w:tcW w:w="238" w:type="dxa"/>
            <w:tcBorders/>
          </w:tcPr>
          <w:p>
            <w:pPr>
              <w:pStyle w:val="Normal"/>
              <w:spacing w:before="0" w:after="200"/>
              <w:rPr>
                <w:rFonts w:ascii="Arial" w:hAnsi="Arial" w:eastAsia="Garamond" w:cs="Arial"/>
                <w:b/>
                <w:b/>
                <w:bCs/>
                <w:sz w:val="24"/>
                <w:szCs w:val="24"/>
                <w:lang w:val="uk-UA"/>
              </w:rPr>
            </w:pPr>
            <w:r>
              <w:rPr>
                <w:rFonts w:eastAsia="Garamond" w:cs="Arial" w:ascii="Arial" w:hAnsi="Arial"/>
                <w:b/>
                <w:bCs/>
                <w:sz w:val="24"/>
                <w:szCs w:val="24"/>
                <w:lang w:val="uk-UA"/>
              </w:rPr>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До 12 місяців</w:t>
            </w:r>
          </w:p>
        </w:tc>
        <w:tc>
          <w:tcPr>
            <w:tcW w:w="1531" w:type="dxa"/>
            <w:tcBorders>
              <w:top w:val="single" w:sz="4" w:space="0" w:color="000000"/>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232,468</w:t>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top w:val="single" w:sz="4" w:space="0" w:color="000000"/>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152,552</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Від 12 до 18 місяців</w:t>
            </w:r>
          </w:p>
        </w:tc>
        <w:tc>
          <w:tcPr>
            <w:tcW w:w="1531" w:type="dxa"/>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7,481</w:t>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4,199</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Від 18 місяців</w:t>
            </w:r>
          </w:p>
        </w:tc>
        <w:tc>
          <w:tcPr>
            <w:tcW w:w="1531" w:type="dxa"/>
            <w:tcBorders>
              <w:bottom w:val="single" w:sz="4" w:space="0" w:color="000000"/>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26,035</w:t>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bottom w:val="single" w:sz="4" w:space="0" w:color="000000"/>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19,595</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r>
        <w:trPr>
          <w:trHeight w:val="20" w:hRule="atLeast"/>
        </w:trPr>
        <w:tc>
          <w:tcPr>
            <w:tcW w:w="6065" w:type="dxa"/>
            <w:tcBorders/>
          </w:tcPr>
          <w:p>
            <w:pPr>
              <w:pStyle w:val="Normal"/>
              <w:spacing w:lineRule="auto" w:line="240" w:before="0" w:after="0"/>
              <w:ind w:left="-108" w:hanging="0"/>
              <w:rPr>
                <w:rFonts w:ascii="Arial" w:hAnsi="Arial" w:cs="Arial"/>
                <w:lang w:val="uk-UA"/>
              </w:rPr>
            </w:pPr>
            <w:r>
              <w:rPr>
                <w:rFonts w:cs="Arial" w:ascii="Arial" w:hAnsi="Arial"/>
                <w:lang w:val="uk-UA"/>
              </w:rPr>
            </w:r>
          </w:p>
        </w:tc>
        <w:tc>
          <w:tcPr>
            <w:tcW w:w="1531" w:type="dxa"/>
            <w:tcBorders>
              <w:top w:val="sing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top w:val="sing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За вирахуванням резерву під знецінення</w:t>
            </w:r>
          </w:p>
        </w:tc>
        <w:tc>
          <w:tcPr>
            <w:tcW w:w="1531" w:type="dxa"/>
            <w:tcBorders>
              <w:bottom w:val="sing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(27,995)</w:t>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bottom w:val="sing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(20,713)</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r>
        <w:trPr>
          <w:trHeight w:val="20" w:hRule="atLeast"/>
        </w:trPr>
        <w:tc>
          <w:tcPr>
            <w:tcW w:w="606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top w:val="single" w:sz="4" w:space="0" w:color="000000"/>
              <w:bottom w:val="doub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237,989</w:t>
            </w:r>
          </w:p>
        </w:tc>
        <w:tc>
          <w:tcPr>
            <w:tcW w:w="235" w:type="dxa"/>
            <w:tcBorders/>
          </w:tcPr>
          <w:p>
            <w:pPr>
              <w:pStyle w:val="Normal"/>
              <w:spacing w:lineRule="auto" w:line="240" w:before="0" w:after="0"/>
              <w:rPr>
                <w:rFonts w:ascii="Arial" w:hAnsi="Arial" w:cs="Arial"/>
                <w:lang w:val="uk-UA"/>
              </w:rPr>
            </w:pPr>
            <w:r>
              <w:rPr>
                <w:rFonts w:cs="Arial" w:ascii="Arial" w:hAnsi="Arial"/>
                <w:lang w:val="uk-UA"/>
              </w:rPr>
            </w:r>
          </w:p>
        </w:tc>
        <w:tc>
          <w:tcPr>
            <w:tcW w:w="1531" w:type="dxa"/>
            <w:tcBorders>
              <w:top w:val="single" w:sz="4" w:space="0" w:color="000000"/>
              <w:bottom w:val="double" w:sz="4" w:space="0" w:color="000000"/>
            </w:tcBorders>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155,633</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r>
    </w:tbl>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16"/>
          <w:szCs w:val="16"/>
          <w:lang w:val="uk-UA"/>
        </w:rPr>
      </w:pPr>
      <w:r>
        <w:rPr>
          <w:rFonts w:eastAsia="Garamond" w:cs="Arial" w:ascii="Arial" w:hAnsi="Arial"/>
          <w:sz w:val="24"/>
          <w:szCs w:val="24"/>
          <w:lang w:val="uk-UA"/>
        </w:rPr>
        <w:t>Протягом періоду зміни в резерві під знецінення дебіторської заборгованості Компанії були представлені наступним чином:</w:t>
      </w:r>
    </w:p>
    <w:tbl>
      <w:tblPr>
        <w:tblW w:w="9364" w:type="dxa"/>
        <w:jc w:val="left"/>
        <w:tblInd w:w="108" w:type="dxa"/>
        <w:tblCellMar>
          <w:top w:w="0" w:type="dxa"/>
          <w:left w:w="108" w:type="dxa"/>
          <w:bottom w:w="0" w:type="dxa"/>
          <w:right w:w="108" w:type="dxa"/>
        </w:tblCellMar>
        <w:tblLook w:firstRow="1" w:noVBand="0" w:lastRow="1" w:firstColumn="1" w:lastColumn="1" w:noHBand="0" w:val="01e0"/>
      </w:tblPr>
      <w:tblGrid>
        <w:gridCol w:w="6065"/>
        <w:gridCol w:w="1532"/>
        <w:gridCol w:w="235"/>
        <w:gridCol w:w="1531"/>
      </w:tblGrid>
      <w:tr>
        <w:trPr>
          <w:trHeight w:val="20" w:hRule="atLeast"/>
        </w:trPr>
        <w:tc>
          <w:tcPr>
            <w:tcW w:w="6065" w:type="dxa"/>
            <w:tcBorders/>
          </w:tcPr>
          <w:p>
            <w:pPr>
              <w:pStyle w:val="Normal"/>
              <w:spacing w:lineRule="auto" w:line="240" w:before="0" w:after="0"/>
              <w:rPr>
                <w:rFonts w:ascii="Arial" w:hAnsi="Arial" w:cs="Arial"/>
                <w:lang w:val="uk-UA"/>
              </w:rPr>
            </w:pPr>
            <w:r>
              <w:rPr>
                <w:rFonts w:cs="Arial" w:ascii="Arial" w:hAnsi="Arial"/>
                <w:lang w:val="uk-UA"/>
              </w:rPr>
            </w:r>
          </w:p>
        </w:tc>
        <w:tc>
          <w:tcPr>
            <w:tcW w:w="1532"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2019</w:t>
            </w:r>
          </w:p>
        </w:tc>
        <w:tc>
          <w:tcPr>
            <w:tcW w:w="235" w:type="dxa"/>
            <w:tcBorders/>
            <w:vAlign w:val="center"/>
          </w:tcPr>
          <w:p>
            <w:pPr>
              <w:pStyle w:val="Normal"/>
              <w:spacing w:lineRule="auto" w:line="240" w:before="0" w:after="0"/>
              <w:ind w:left="-108" w:right="-108" w:hanging="0"/>
              <w:jc w:val="center"/>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31 грудня 2018</w:t>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На 1 січня</w:t>
            </w:r>
          </w:p>
        </w:tc>
        <w:tc>
          <w:tcPr>
            <w:tcW w:w="1532" w:type="dxa"/>
            <w:tcBorders>
              <w:top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20,713</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18,457</w:t>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Нараховано за рік</w:t>
            </w:r>
          </w:p>
        </w:tc>
        <w:tc>
          <w:tcPr>
            <w:tcW w:w="1532"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7,538</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2,276</w:t>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Використано за рік</w:t>
            </w:r>
          </w:p>
        </w:tc>
        <w:tc>
          <w:tcPr>
            <w:tcW w:w="1532"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(256)</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(20)</w:t>
            </w:r>
          </w:p>
        </w:tc>
      </w:tr>
      <w:tr>
        <w:trPr>
          <w:trHeight w:val="20" w:hRule="atLeast"/>
        </w:trPr>
        <w:tc>
          <w:tcPr>
            <w:tcW w:w="606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На 31 грудня</w:t>
            </w:r>
          </w:p>
        </w:tc>
        <w:tc>
          <w:tcPr>
            <w:tcW w:w="1532"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27,995</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20,713</w:t>
            </w:r>
          </w:p>
        </w:tc>
      </w:tr>
    </w:tbl>
    <w:p>
      <w:pPr>
        <w:pStyle w:val="Normal"/>
        <w:spacing w:lineRule="auto" w:line="240" w:before="0" w:after="0"/>
        <w:jc w:val="both"/>
        <w:rPr>
          <w:rFonts w:ascii="Arial" w:hAnsi="Arial" w:eastAsia="Garamond" w:cs="Arial"/>
          <w:b/>
          <w:b/>
          <w:bCs/>
          <w:sz w:val="10"/>
          <w:szCs w:val="10"/>
          <w:lang w:val="uk-UA"/>
        </w:rPr>
      </w:pPr>
      <w:r>
        <w:rPr>
          <w:rFonts w:eastAsia="Garamond" w:cs="Arial" w:ascii="Arial" w:hAnsi="Arial"/>
          <w:b/>
          <w:bCs/>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b/>
          <w:bCs/>
          <w:sz w:val="24"/>
          <w:szCs w:val="24"/>
          <w:lang w:val="uk-UA"/>
        </w:rPr>
        <w:t>Ринковий ризик</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Компанія схильна до впливу ринкового ризику. Ринковий ризик пов’язаний з відкритими позиціями (а) в іноземних валютах, (б) процентних активів та зобов’язань та (в) продукції підприємства, які схильні до ризику загальних і специфічних змін на ринку. Керівництво встановлює ліміти щодо прийнятного рівня ризику, які контролюються щоденно. Однак використання цього підходу не дозволяє запобігти збитків, які перевищують встановлені ліміти, в разі більш істотних змін на ринку.</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Чутливість до ринкових ризиків, що представлена нижче, заснована на зміні фактору, коли всі інші фактори залишаються незмінними. На практиці це здебільшого не відбувається і зміни деяких факторів можуть бути пов’язані, наприклад, зі зміною процентної ставки та зміною курсів валют.</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b/>
          <w:b/>
          <w:sz w:val="24"/>
          <w:szCs w:val="24"/>
          <w:lang w:val="uk-UA"/>
        </w:rPr>
      </w:pPr>
      <w:r>
        <w:rPr>
          <w:rFonts w:eastAsia="Garamond" w:cs="Arial" w:ascii="Arial" w:hAnsi="Arial"/>
          <w:b/>
          <w:sz w:val="24"/>
          <w:szCs w:val="24"/>
          <w:lang w:val="uk-UA"/>
        </w:rPr>
        <w:t>Ризик зміни процентних ставок</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 xml:space="preserve">Витрати Компанії та грошові потоки від операційної діяльності залежать від зміни ринкових процентних ставок. </w:t>
      </w:r>
    </w:p>
    <w:p>
      <w:pPr>
        <w:pStyle w:val="Normal"/>
        <w:spacing w:lineRule="auto" w:line="240" w:before="0" w:after="0"/>
        <w:jc w:val="both"/>
        <w:rPr>
          <w:rFonts w:ascii="Arial" w:hAnsi="Arial" w:eastAsia="Garamond" w:cs="Arial"/>
          <w:sz w:val="6"/>
          <w:szCs w:val="6"/>
          <w:lang w:val="uk-UA"/>
        </w:rPr>
      </w:pPr>
      <w:r>
        <w:rPr>
          <w:rFonts w:eastAsia="Garamond"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 xml:space="preserve">Станом на 31 грудня 2019 р. Компанія має відсоткові банківські позики. Річний відсоток за кредитом дорівнює сумі міжбанківського курсу та маржі, зміненій відповідно до «Цінової решітки». Така зміна визначається як функція Коефіцієнта обслуговування Боргу, який розраховується щоквартально на підставі фінансових звітів, підготовлених згідно з українськими П(С)БО. </w:t>
      </w:r>
    </w:p>
    <w:p>
      <w:pPr>
        <w:pStyle w:val="Normal"/>
        <w:spacing w:lineRule="auto" w:line="240" w:before="0" w:after="0"/>
        <w:jc w:val="both"/>
        <w:rPr>
          <w:rFonts w:ascii="Arial" w:hAnsi="Arial" w:eastAsia="Garamond" w:cs="Arial"/>
          <w:b/>
          <w:b/>
          <w:sz w:val="24"/>
          <w:szCs w:val="24"/>
          <w:lang w:val="uk-UA"/>
        </w:rPr>
      </w:pPr>
      <w:r>
        <w:rPr>
          <w:rFonts w:eastAsia="Garamond" w:cs="Arial" w:ascii="Arial" w:hAnsi="Arial"/>
          <w:b/>
          <w:sz w:val="24"/>
          <w:szCs w:val="24"/>
          <w:lang w:val="uk-UA"/>
        </w:rPr>
      </w:r>
    </w:p>
    <w:p>
      <w:pPr>
        <w:pStyle w:val="Normal"/>
        <w:spacing w:lineRule="auto" w:line="240" w:before="0" w:after="0"/>
        <w:jc w:val="both"/>
        <w:rPr>
          <w:rFonts w:ascii="Arial" w:hAnsi="Arial" w:eastAsia="Garamond" w:cs="Arial"/>
          <w:b/>
          <w:b/>
          <w:sz w:val="24"/>
          <w:szCs w:val="24"/>
          <w:lang w:val="uk-UA"/>
        </w:rPr>
      </w:pPr>
      <w:r>
        <w:rPr>
          <w:rFonts w:eastAsia="Garamond" w:cs="Arial" w:ascii="Arial" w:hAnsi="Arial"/>
          <w:b/>
          <w:sz w:val="24"/>
          <w:szCs w:val="24"/>
          <w:lang w:val="uk-UA"/>
        </w:rPr>
        <w:t>Валютний ризик</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Компанія не володіла станом 31 грудня 2019 р. та 31 грудня 2018 р. фінансовими інструментами, представленими у валюті, що відрізняється від функціональної валюти. Компанія отримувала кредити та здійснювала валютні операції (купівля/продаж валюти та сплата банківської комісії та відсотків за кредит в іноземній валюті (євро та долари США).</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Обмінний курс євро та доларів США по відношенню до української гривні, встановлений НБУ на зазначені дати, був наступний:</w:t>
      </w:r>
    </w:p>
    <w:p>
      <w:pPr>
        <w:pStyle w:val="Normal"/>
        <w:spacing w:lineRule="auto" w:line="240" w:before="0" w:after="0"/>
        <w:jc w:val="both"/>
        <w:rPr>
          <w:rFonts w:ascii="Arial" w:hAnsi="Arial" w:eastAsia="Garamond" w:cs="Arial"/>
          <w:sz w:val="10"/>
          <w:szCs w:val="10"/>
          <w:lang w:val="uk-UA"/>
        </w:rPr>
      </w:pPr>
      <w:r>
        <w:rPr>
          <w:rFonts w:eastAsia="Garamond" w:cs="Arial" w:ascii="Arial" w:hAnsi="Arial"/>
          <w:sz w:val="10"/>
          <w:szCs w:val="10"/>
          <w:lang w:val="uk-UA"/>
        </w:rPr>
      </w:r>
    </w:p>
    <w:p>
      <w:pPr>
        <w:pStyle w:val="Normal"/>
        <w:tabs>
          <w:tab w:val="clear" w:pos="720"/>
          <w:tab w:val="left" w:pos="8120" w:leader="none"/>
        </w:tabs>
        <w:spacing w:lineRule="auto" w:line="240" w:before="0" w:after="0"/>
        <w:jc w:val="right"/>
        <w:rPr>
          <w:rFonts w:ascii="Arial" w:hAnsi="Arial" w:eastAsia="Garamond" w:cs="Arial"/>
          <w:b/>
          <w:b/>
          <w:lang w:val="uk-UA"/>
        </w:rPr>
      </w:pPr>
      <w:r>
        <w:rPr>
          <w:rFonts w:eastAsia="Garamond" w:cs="Arial" w:ascii="Arial" w:hAnsi="Arial"/>
          <w:b/>
          <w:lang w:val="uk-UA"/>
        </w:rPr>
        <w:t>Курс євро</w:t>
      </w:r>
    </w:p>
    <w:p>
      <w:pPr>
        <w:pStyle w:val="ListParagraph"/>
        <w:numPr>
          <w:ilvl w:val="0"/>
          <w:numId w:val="1"/>
        </w:numPr>
        <w:tabs>
          <w:tab w:val="clear" w:pos="720"/>
          <w:tab w:val="left" w:pos="567" w:leader="none"/>
          <w:tab w:val="right" w:pos="9356" w:leader="none"/>
        </w:tabs>
        <w:spacing w:lineRule="auto" w:line="240" w:before="0" w:after="0"/>
        <w:ind w:left="567" w:hanging="360"/>
        <w:contextualSpacing/>
        <w:rPr>
          <w:rFonts w:ascii="Arial" w:hAnsi="Arial" w:eastAsia="Garamond" w:cs="Arial"/>
          <w:lang w:val="uk-UA"/>
        </w:rPr>
      </w:pPr>
      <w:r>
        <w:rPr>
          <w:rFonts w:eastAsia="Garamond" w:cs="Arial" w:ascii="Arial" w:hAnsi="Arial"/>
          <w:lang w:val="uk-UA"/>
        </w:rPr>
        <w:t>31 грудня 2018 р.</w:t>
        <w:tab/>
        <w:t>31,7141</w:t>
      </w:r>
    </w:p>
    <w:p>
      <w:pPr>
        <w:pStyle w:val="ListParagraph"/>
        <w:numPr>
          <w:ilvl w:val="0"/>
          <w:numId w:val="1"/>
        </w:numPr>
        <w:tabs>
          <w:tab w:val="clear" w:pos="720"/>
          <w:tab w:val="left" w:pos="567" w:leader="none"/>
          <w:tab w:val="right" w:pos="9356" w:leader="none"/>
        </w:tabs>
        <w:spacing w:lineRule="auto" w:line="240" w:before="0" w:after="0"/>
        <w:contextualSpacing/>
        <w:rPr>
          <w:rFonts w:ascii="Arial" w:hAnsi="Arial" w:eastAsia="Garamond" w:cs="Arial"/>
          <w:lang w:val="uk-UA"/>
        </w:rPr>
      </w:pPr>
      <w:r>
        <w:rPr>
          <w:rFonts w:eastAsia="Garamond" w:cs="Arial" w:ascii="Arial" w:hAnsi="Arial"/>
          <w:lang w:val="uk-UA"/>
        </w:rPr>
        <w:t>31 грудня 2019 р.</w:t>
        <w:tab/>
        <w:t>26,422</w:t>
      </w:r>
    </w:p>
    <w:p>
      <w:pPr>
        <w:pStyle w:val="Normal"/>
        <w:tabs>
          <w:tab w:val="clear" w:pos="720"/>
          <w:tab w:val="left" w:pos="8120" w:leader="none"/>
        </w:tabs>
        <w:spacing w:lineRule="auto" w:line="240" w:before="0" w:after="0"/>
        <w:jc w:val="right"/>
        <w:rPr>
          <w:rFonts w:ascii="Arial" w:hAnsi="Arial" w:eastAsia="Garamond" w:cs="Arial"/>
          <w:b/>
          <w:b/>
          <w:lang w:val="uk-UA"/>
        </w:rPr>
      </w:pPr>
      <w:r>
        <w:rPr>
          <w:rFonts w:eastAsia="Garamond" w:cs="Arial" w:ascii="Arial" w:hAnsi="Arial"/>
          <w:b/>
          <w:lang w:val="uk-UA"/>
        </w:rPr>
      </w:r>
    </w:p>
    <w:p>
      <w:pPr>
        <w:pStyle w:val="Normal"/>
        <w:tabs>
          <w:tab w:val="clear" w:pos="720"/>
          <w:tab w:val="left" w:pos="8120" w:leader="none"/>
        </w:tabs>
        <w:spacing w:lineRule="auto" w:line="240" w:before="0" w:after="0"/>
        <w:jc w:val="right"/>
        <w:rPr>
          <w:rFonts w:ascii="Arial" w:hAnsi="Arial" w:eastAsia="Garamond" w:cs="Arial"/>
          <w:b/>
          <w:b/>
          <w:lang w:val="uk-UA"/>
        </w:rPr>
      </w:pPr>
      <w:r>
        <w:rPr>
          <w:rFonts w:eastAsia="Garamond" w:cs="Arial" w:ascii="Arial" w:hAnsi="Arial"/>
          <w:b/>
          <w:lang w:val="uk-UA"/>
        </w:rPr>
        <w:t>Курс дол. США</w:t>
      </w:r>
    </w:p>
    <w:p>
      <w:pPr>
        <w:pStyle w:val="ListParagraph"/>
        <w:numPr>
          <w:ilvl w:val="0"/>
          <w:numId w:val="1"/>
        </w:numPr>
        <w:tabs>
          <w:tab w:val="clear" w:pos="720"/>
          <w:tab w:val="left" w:pos="567" w:leader="none"/>
          <w:tab w:val="right" w:pos="9356" w:leader="none"/>
        </w:tabs>
        <w:spacing w:lineRule="auto" w:line="240" w:before="0" w:after="0"/>
        <w:contextualSpacing/>
        <w:rPr>
          <w:rFonts w:ascii="Arial" w:hAnsi="Arial" w:eastAsia="Garamond" w:cs="Arial"/>
          <w:lang w:val="uk-UA"/>
        </w:rPr>
      </w:pPr>
      <w:r>
        <w:rPr>
          <w:rFonts w:eastAsia="Garamond" w:cs="Arial" w:ascii="Arial" w:hAnsi="Arial"/>
          <w:lang w:val="uk-UA"/>
        </w:rPr>
        <w:t>31 грудня 2018 р.</w:t>
        <w:tab/>
        <w:t>27,6883</w:t>
      </w:r>
    </w:p>
    <w:p>
      <w:pPr>
        <w:pStyle w:val="ListParagraph"/>
        <w:numPr>
          <w:ilvl w:val="0"/>
          <w:numId w:val="1"/>
        </w:numPr>
        <w:tabs>
          <w:tab w:val="clear" w:pos="720"/>
          <w:tab w:val="left" w:pos="567" w:leader="none"/>
          <w:tab w:val="right" w:pos="9356" w:leader="none"/>
        </w:tabs>
        <w:spacing w:lineRule="auto" w:line="240" w:before="0" w:after="0"/>
        <w:ind w:left="567" w:hanging="360"/>
        <w:contextualSpacing/>
        <w:rPr>
          <w:rFonts w:ascii="Arial" w:hAnsi="Arial" w:eastAsia="Garamond" w:cs="Arial"/>
          <w:lang w:val="uk-UA"/>
        </w:rPr>
      </w:pPr>
      <w:r>
        <w:rPr>
          <w:rFonts w:eastAsia="Garamond" w:cs="Arial" w:ascii="Arial" w:hAnsi="Arial"/>
          <w:lang w:val="uk-UA"/>
        </w:rPr>
        <w:t>31 грудня 2019 р.</w:t>
        <w:tab/>
        <w:t>23,6862</w:t>
      </w:r>
    </w:p>
    <w:p>
      <w:pPr>
        <w:pStyle w:val="Normal"/>
        <w:spacing w:lineRule="auto" w:line="240" w:before="0" w:after="0"/>
        <w:jc w:val="both"/>
        <w:rPr>
          <w:rFonts w:ascii="Arial" w:hAnsi="Arial" w:eastAsia="Garamond" w:cs="Arial"/>
          <w:b/>
          <w:b/>
          <w:sz w:val="10"/>
          <w:szCs w:val="10"/>
          <w:u w:val="single" w:color="000000"/>
          <w:lang w:val="uk-UA"/>
        </w:rPr>
      </w:pPr>
      <w:r>
        <w:rPr>
          <w:rFonts w:eastAsia="Garamond" w:cs="Arial" w:ascii="Arial" w:hAnsi="Arial"/>
          <w:b/>
          <w:sz w:val="10"/>
          <w:szCs w:val="10"/>
          <w:u w:val="single" w:color="00000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Ризик операційної курсової різниці стосується монетарних активів та зобов’язань Компанії, виражених в іноземній валюті, та виникає внаслідок коливань курсів на валютному ринку. Такий ризик виникає при операціях купівлі/продажу Компанією в валютах інших, ніж функціональна. Компанія не проводить операції з метою хеджування валютних ризиків.</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Нижче представлено чутливість прибутку до оподаткування Компанії до вірогідної зміни обмінного курсу (внаслідок змін у справедливій вартості фінансових активів та зобов’язань), при постійному значенні всіх інших змінних. Такі зміни не вплинуть на власний капітал Компанії.</w:t>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r>
    </w:p>
    <w:tbl>
      <w:tblPr>
        <w:tblW w:w="9342" w:type="dxa"/>
        <w:jc w:val="left"/>
        <w:tblInd w:w="108" w:type="dxa"/>
        <w:tblCellMar>
          <w:top w:w="0" w:type="dxa"/>
          <w:left w:w="108" w:type="dxa"/>
          <w:bottom w:w="0" w:type="dxa"/>
          <w:right w:w="108" w:type="dxa"/>
        </w:tblCellMar>
        <w:tblLook w:firstRow="1" w:noVBand="0" w:lastRow="1" w:firstColumn="1" w:lastColumn="1" w:noHBand="0" w:val="01e0"/>
      </w:tblPr>
      <w:tblGrid>
        <w:gridCol w:w="1591"/>
        <w:gridCol w:w="1769"/>
        <w:gridCol w:w="1951"/>
        <w:gridCol w:w="238"/>
        <w:gridCol w:w="1895"/>
        <w:gridCol w:w="1897"/>
      </w:tblGrid>
      <w:tr>
        <w:trPr>
          <w:trHeight w:val="20" w:hRule="atLeast"/>
        </w:trPr>
        <w:tc>
          <w:tcPr>
            <w:tcW w:w="1591" w:type="dxa"/>
            <w:tcBorders/>
          </w:tcPr>
          <w:p>
            <w:pPr>
              <w:pStyle w:val="Normal"/>
              <w:spacing w:lineRule="auto" w:line="240" w:before="0" w:after="0"/>
              <w:rPr>
                <w:rFonts w:ascii="Arial" w:hAnsi="Arial" w:eastAsia="Garamond" w:cs="Arial"/>
                <w:lang w:val="uk-UA"/>
              </w:rPr>
            </w:pPr>
            <w:r>
              <w:rPr>
                <w:rFonts w:eastAsia="Garamond" w:cs="Arial" w:ascii="Arial" w:hAnsi="Arial"/>
                <w:lang w:val="uk-UA"/>
              </w:rPr>
            </w:r>
          </w:p>
        </w:tc>
        <w:tc>
          <w:tcPr>
            <w:tcW w:w="3720" w:type="dxa"/>
            <w:gridSpan w:val="2"/>
            <w:tcBorders>
              <w:top w:val="single" w:sz="4" w:space="0" w:color="000000"/>
            </w:tcBorders>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31 грудня 2019</w:t>
            </w:r>
          </w:p>
        </w:tc>
        <w:tc>
          <w:tcPr>
            <w:tcW w:w="238" w:type="dxa"/>
            <w:tcBorders/>
          </w:tcPr>
          <w:p>
            <w:pPr>
              <w:pStyle w:val="Normal"/>
              <w:spacing w:lineRule="auto" w:line="240" w:before="0" w:after="0"/>
              <w:rPr>
                <w:rFonts w:ascii="Arial" w:hAnsi="Arial" w:cs="Arial"/>
                <w:lang w:val="uk-UA"/>
              </w:rPr>
            </w:pPr>
            <w:r>
              <w:rPr>
                <w:rFonts w:cs="Arial" w:ascii="Arial" w:hAnsi="Arial"/>
                <w:lang w:val="uk-UA"/>
              </w:rPr>
            </w:r>
          </w:p>
        </w:tc>
        <w:tc>
          <w:tcPr>
            <w:tcW w:w="3792" w:type="dxa"/>
            <w:gridSpan w:val="2"/>
            <w:tcBorders>
              <w:top w:val="single" w:sz="4" w:space="0" w:color="000000"/>
            </w:tcBorders>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31 грудня 2018</w:t>
            </w:r>
          </w:p>
        </w:tc>
      </w:tr>
      <w:tr>
        <w:trPr>
          <w:trHeight w:val="20" w:hRule="atLeast"/>
        </w:trPr>
        <w:tc>
          <w:tcPr>
            <w:tcW w:w="1591" w:type="dxa"/>
            <w:tcBorders/>
          </w:tcPr>
          <w:p>
            <w:pPr>
              <w:pStyle w:val="Normal"/>
              <w:spacing w:lineRule="auto" w:line="240" w:before="0" w:after="0"/>
              <w:rPr>
                <w:rFonts w:ascii="Arial" w:hAnsi="Arial" w:eastAsia="Garamond" w:cs="Arial"/>
                <w:lang w:val="uk-UA"/>
              </w:rPr>
            </w:pPr>
            <w:r>
              <w:rPr>
                <w:rFonts w:eastAsia="Garamond" w:cs="Arial" w:ascii="Arial" w:hAnsi="Arial"/>
                <w:lang w:val="uk-UA"/>
              </w:rPr>
            </w:r>
          </w:p>
        </w:tc>
        <w:tc>
          <w:tcPr>
            <w:tcW w:w="1769" w:type="dxa"/>
            <w:tcBorders>
              <w:top w:val="single" w:sz="4" w:space="0" w:color="000000"/>
            </w:tcBorders>
            <w:vAlign w:val="center"/>
          </w:tcPr>
          <w:p>
            <w:pPr>
              <w:pStyle w:val="Normal"/>
              <w:spacing w:lineRule="auto" w:line="240" w:before="0" w:after="0"/>
              <w:jc w:val="center"/>
              <w:rPr>
                <w:rFonts w:ascii="Arial" w:hAnsi="Arial" w:eastAsia="Garamond" w:cs="Arial"/>
                <w:b/>
                <w:b/>
                <w:bCs/>
                <w:lang w:val="uk-UA"/>
              </w:rPr>
            </w:pPr>
            <w:r>
              <w:rPr>
                <w:rFonts w:eastAsia="Garamond" w:cs="Arial" w:ascii="Arial" w:hAnsi="Arial"/>
                <w:b/>
                <w:bCs/>
                <w:lang w:val="uk-UA"/>
              </w:rPr>
              <w:t>Зміна курсу</w:t>
            </w:r>
          </w:p>
          <w:p>
            <w:pPr>
              <w:pStyle w:val="Normal"/>
              <w:spacing w:lineRule="auto" w:line="240" w:before="0" w:after="0"/>
              <w:jc w:val="center"/>
              <w:rPr>
                <w:rFonts w:ascii="Arial" w:hAnsi="Arial" w:eastAsia="Garamond" w:cs="Arial"/>
                <w:lang w:val="uk-UA"/>
              </w:rPr>
            </w:pPr>
            <w:r>
              <w:rPr>
                <w:rFonts w:eastAsia="Garamond" w:cs="Arial" w:ascii="Arial" w:hAnsi="Arial"/>
                <w:b/>
                <w:bCs/>
                <w:lang w:val="uk-UA"/>
              </w:rPr>
              <w:t>гривні</w:t>
            </w:r>
          </w:p>
        </w:tc>
        <w:tc>
          <w:tcPr>
            <w:tcW w:w="1951" w:type="dxa"/>
            <w:tcBorders>
              <w:top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Вплив на прибуток до оподаткування</w:t>
            </w:r>
          </w:p>
        </w:tc>
        <w:tc>
          <w:tcPr>
            <w:tcW w:w="238" w:type="dxa"/>
            <w:tcBorders/>
            <w:vAlign w:val="center"/>
          </w:tcPr>
          <w:p>
            <w:pPr>
              <w:pStyle w:val="Normal"/>
              <w:spacing w:lineRule="auto" w:line="240" w:before="0" w:after="0"/>
              <w:rPr>
                <w:rFonts w:ascii="Arial" w:hAnsi="Arial" w:cs="Arial"/>
                <w:lang w:val="uk-UA"/>
              </w:rPr>
            </w:pPr>
            <w:r>
              <w:rPr>
                <w:rFonts w:cs="Arial" w:ascii="Arial" w:hAnsi="Arial"/>
                <w:lang w:val="uk-UA"/>
              </w:rPr>
            </w:r>
          </w:p>
        </w:tc>
        <w:tc>
          <w:tcPr>
            <w:tcW w:w="1895" w:type="dxa"/>
            <w:tcBorders>
              <w:top w:val="single" w:sz="4" w:space="0" w:color="000000"/>
            </w:tcBorders>
            <w:vAlign w:val="center"/>
          </w:tcPr>
          <w:p>
            <w:pPr>
              <w:pStyle w:val="Normal"/>
              <w:spacing w:lineRule="auto" w:line="240" w:before="0" w:after="0"/>
              <w:jc w:val="center"/>
              <w:rPr>
                <w:rFonts w:ascii="Arial" w:hAnsi="Arial" w:eastAsia="Garamond" w:cs="Arial"/>
                <w:b/>
                <w:b/>
                <w:bCs/>
                <w:lang w:val="uk-UA"/>
              </w:rPr>
            </w:pPr>
            <w:r>
              <w:rPr>
                <w:rFonts w:eastAsia="Garamond" w:cs="Arial" w:ascii="Arial" w:hAnsi="Arial"/>
                <w:b/>
                <w:bCs/>
                <w:lang w:val="uk-UA"/>
              </w:rPr>
              <w:t>Зміна курсу</w:t>
            </w:r>
          </w:p>
          <w:p>
            <w:pPr>
              <w:pStyle w:val="Normal"/>
              <w:spacing w:lineRule="auto" w:line="240" w:before="0" w:after="0"/>
              <w:jc w:val="center"/>
              <w:rPr>
                <w:rFonts w:ascii="Arial" w:hAnsi="Arial" w:eastAsia="Garamond" w:cs="Arial"/>
                <w:lang w:val="uk-UA"/>
              </w:rPr>
            </w:pPr>
            <w:r>
              <w:rPr>
                <w:rFonts w:eastAsia="Garamond" w:cs="Arial" w:ascii="Arial" w:hAnsi="Arial"/>
                <w:b/>
                <w:bCs/>
                <w:lang w:val="uk-UA"/>
              </w:rPr>
              <w:t>гривні</w:t>
            </w:r>
          </w:p>
        </w:tc>
        <w:tc>
          <w:tcPr>
            <w:tcW w:w="1897" w:type="dxa"/>
            <w:tcBorders>
              <w:top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Вплив на прибуток до оподаткування</w:t>
            </w:r>
          </w:p>
        </w:tc>
      </w:tr>
      <w:tr>
        <w:trPr>
          <w:trHeight w:val="20" w:hRule="atLeast"/>
        </w:trPr>
        <w:tc>
          <w:tcPr>
            <w:tcW w:w="1591"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Гривня/Євро</w:t>
            </w:r>
          </w:p>
        </w:tc>
        <w:tc>
          <w:tcPr>
            <w:tcW w:w="1769"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95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7,942</w:t>
            </w:r>
          </w:p>
        </w:tc>
        <w:tc>
          <w:tcPr>
            <w:tcW w:w="238"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895"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897"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4,114</w:t>
            </w:r>
          </w:p>
        </w:tc>
      </w:tr>
      <w:tr>
        <w:trPr>
          <w:trHeight w:val="20" w:hRule="atLeast"/>
        </w:trPr>
        <w:tc>
          <w:tcPr>
            <w:tcW w:w="1591"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Гривня/Євро</w:t>
            </w:r>
          </w:p>
        </w:tc>
        <w:tc>
          <w:tcPr>
            <w:tcW w:w="1769"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95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(7,942)</w:t>
            </w:r>
          </w:p>
        </w:tc>
        <w:tc>
          <w:tcPr>
            <w:tcW w:w="238"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89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897"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(4,114)</w:t>
            </w:r>
          </w:p>
        </w:tc>
      </w:tr>
      <w:tr>
        <w:trPr>
          <w:trHeight w:val="20" w:hRule="atLeast"/>
        </w:trPr>
        <w:tc>
          <w:tcPr>
            <w:tcW w:w="1591"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Гривня/Долар</w:t>
            </w:r>
          </w:p>
        </w:tc>
        <w:tc>
          <w:tcPr>
            <w:tcW w:w="1769"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95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14,112</w:t>
            </w:r>
          </w:p>
        </w:tc>
        <w:tc>
          <w:tcPr>
            <w:tcW w:w="238"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89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897"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4,360</w:t>
            </w:r>
          </w:p>
        </w:tc>
      </w:tr>
      <w:tr>
        <w:trPr>
          <w:trHeight w:val="20" w:hRule="atLeast"/>
        </w:trPr>
        <w:tc>
          <w:tcPr>
            <w:tcW w:w="1591"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Гривня/Долар</w:t>
            </w:r>
          </w:p>
        </w:tc>
        <w:tc>
          <w:tcPr>
            <w:tcW w:w="1769"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95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(14,112)</w:t>
            </w:r>
          </w:p>
        </w:tc>
        <w:tc>
          <w:tcPr>
            <w:tcW w:w="238"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89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(10)%</w:t>
            </w:r>
          </w:p>
        </w:tc>
        <w:tc>
          <w:tcPr>
            <w:tcW w:w="1897"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(4,360)</w:t>
            </w:r>
          </w:p>
        </w:tc>
      </w:tr>
    </w:tbl>
    <w:p>
      <w:pPr>
        <w:pStyle w:val="Normal"/>
        <w:spacing w:lineRule="auto" w:line="240" w:before="0" w:after="0"/>
        <w:jc w:val="both"/>
        <w:rPr>
          <w:rFonts w:ascii="Arial" w:hAnsi="Arial" w:eastAsia="Garamond" w:cs="Arial"/>
          <w:color w:val="0070C0"/>
          <w:lang w:val="uk-UA"/>
        </w:rPr>
      </w:pPr>
      <w:r>
        <w:rPr>
          <w:rFonts w:eastAsia="Garamond" w:cs="Arial" w:ascii="Arial" w:hAnsi="Arial"/>
          <w:color w:val="0070C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Нижче представлені фінансові активи та зобов’язання в розрізі валют станом на 31 грудня 2019 р.:</w:t>
      </w:r>
    </w:p>
    <w:p>
      <w:pPr>
        <w:pStyle w:val="Normal"/>
        <w:spacing w:lineRule="auto" w:line="240" w:before="0" w:after="0"/>
        <w:jc w:val="both"/>
        <w:rPr>
          <w:rFonts w:ascii="Arial" w:hAnsi="Arial" w:eastAsia="Garamond" w:cs="Arial"/>
          <w:sz w:val="10"/>
          <w:szCs w:val="10"/>
          <w:lang w:val="uk-UA"/>
        </w:rPr>
      </w:pPr>
      <w:r>
        <w:rPr>
          <w:rFonts w:eastAsia="Garamond" w:cs="Arial" w:ascii="Arial" w:hAnsi="Arial"/>
          <w:sz w:val="10"/>
          <w:szCs w:val="10"/>
          <w:lang w:val="uk-UA"/>
        </w:rPr>
      </w:r>
    </w:p>
    <w:tbl>
      <w:tblPr>
        <w:tblW w:w="9374" w:type="dxa"/>
        <w:jc w:val="left"/>
        <w:tblInd w:w="108" w:type="dxa"/>
        <w:tblCellMar>
          <w:top w:w="0" w:type="dxa"/>
          <w:left w:w="108" w:type="dxa"/>
          <w:bottom w:w="0" w:type="dxa"/>
          <w:right w:w="108" w:type="dxa"/>
        </w:tblCellMar>
        <w:tblLook w:firstRow="1" w:noVBand="0" w:lastRow="1" w:firstColumn="1" w:lastColumn="1" w:noHBand="0" w:val="01e0"/>
      </w:tblPr>
      <w:tblGrid>
        <w:gridCol w:w="3827"/>
        <w:gridCol w:w="1560"/>
        <w:gridCol w:w="282"/>
        <w:gridCol w:w="1938"/>
        <w:gridCol w:w="235"/>
        <w:gridCol w:w="1531"/>
      </w:tblGrid>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Фінансові активи</w:t>
            </w:r>
          </w:p>
        </w:tc>
        <w:tc>
          <w:tcPr>
            <w:tcW w:w="1560" w:type="dxa"/>
            <w:tcBorders/>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Гривня</w:t>
            </w:r>
          </w:p>
        </w:tc>
        <w:tc>
          <w:tcPr>
            <w:tcW w:w="282" w:type="dxa"/>
            <w:tcBorders/>
          </w:tcPr>
          <w:p>
            <w:pPr>
              <w:pStyle w:val="Normal"/>
              <w:spacing w:lineRule="auto" w:line="240" w:before="0" w:after="0"/>
              <w:jc w:val="center"/>
              <w:rPr>
                <w:rFonts w:ascii="Arial" w:hAnsi="Arial" w:cs="Arial"/>
                <w:lang w:val="uk-UA"/>
              </w:rPr>
            </w:pPr>
            <w:r>
              <w:rPr>
                <w:rFonts w:cs="Arial" w:ascii="Arial" w:hAnsi="Arial"/>
                <w:lang w:val="uk-UA"/>
              </w:rPr>
            </w:r>
          </w:p>
        </w:tc>
        <w:tc>
          <w:tcPr>
            <w:tcW w:w="1938" w:type="dxa"/>
            <w:tcBorders/>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Валюта (долар, євро)</w:t>
            </w:r>
          </w:p>
        </w:tc>
        <w:tc>
          <w:tcPr>
            <w:tcW w:w="235" w:type="dxa"/>
            <w:tcBorders/>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1531" w:type="dxa"/>
            <w:tcBorders>
              <w:bottom w:val="single" w:sz="4" w:space="0" w:color="000000"/>
            </w:tcBorders>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Всього</w:t>
            </w:r>
          </w:p>
        </w:tc>
      </w:tr>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Торгова та інша дебіторська заборгованість</w:t>
            </w:r>
          </w:p>
        </w:tc>
        <w:tc>
          <w:tcPr>
            <w:tcW w:w="1560"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237,989</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237,989</w:t>
            </w:r>
          </w:p>
        </w:tc>
      </w:tr>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Державні дотації до отримання</w:t>
            </w:r>
          </w:p>
        </w:tc>
        <w:tc>
          <w:tcPr>
            <w:tcW w:w="1560"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153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r>
      <w:tr>
        <w:trPr>
          <w:trHeight w:val="20" w:hRule="atLeast"/>
        </w:trPr>
        <w:tc>
          <w:tcPr>
            <w:tcW w:w="3827" w:type="dxa"/>
            <w:vMerge w:val="restart"/>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Грошові кошти та їх еквіваленти</w:t>
            </w:r>
          </w:p>
        </w:tc>
        <w:tc>
          <w:tcPr>
            <w:tcW w:w="1560"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3,771</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91,700</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95,471</w:t>
            </w:r>
          </w:p>
        </w:tc>
      </w:tr>
      <w:tr>
        <w:trPr>
          <w:trHeight w:val="20" w:hRule="atLeast"/>
        </w:trPr>
        <w:tc>
          <w:tcPr>
            <w:tcW w:w="3827" w:type="dxa"/>
            <w:vMerge w:val="continue"/>
            <w:tcBorders/>
          </w:tcPr>
          <w:p>
            <w:pPr>
              <w:pStyle w:val="Normal"/>
              <w:spacing w:lineRule="auto" w:line="240" w:before="0" w:after="0"/>
              <w:ind w:left="-108" w:hanging="0"/>
              <w:rPr>
                <w:rFonts w:ascii="Arial" w:hAnsi="Arial" w:cs="Arial"/>
                <w:lang w:val="uk-UA"/>
              </w:rPr>
            </w:pPr>
            <w:r>
              <w:rPr>
                <w:rFonts w:cs="Arial" w:ascii="Arial" w:hAnsi="Arial"/>
                <w:lang w:val="uk-UA"/>
              </w:rPr>
            </w:r>
          </w:p>
        </w:tc>
        <w:tc>
          <w:tcPr>
            <w:tcW w:w="1560"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243,553</w:t>
            </w:r>
          </w:p>
        </w:tc>
        <w:tc>
          <w:tcPr>
            <w:tcW w:w="282" w:type="dxa"/>
            <w:tcBorders/>
            <w:vAlign w:val="center"/>
          </w:tcPr>
          <w:p>
            <w:pPr>
              <w:pStyle w:val="Normal"/>
              <w:spacing w:lineRule="auto" w:line="240" w:before="0" w:after="0"/>
              <w:jc w:val="right"/>
              <w:rPr>
                <w:rFonts w:ascii="Arial" w:hAnsi="Arial" w:cs="Arial"/>
                <w:b/>
                <w:b/>
                <w:lang w:val="uk-UA"/>
              </w:rPr>
            </w:pPr>
            <w:r>
              <w:rPr>
                <w:rFonts w:cs="Arial" w:ascii="Arial" w:hAnsi="Arial"/>
                <w:b/>
                <w:lang w:val="uk-UA"/>
              </w:rPr>
            </w:r>
          </w:p>
        </w:tc>
        <w:tc>
          <w:tcPr>
            <w:tcW w:w="1938"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91,700</w:t>
            </w:r>
          </w:p>
        </w:tc>
        <w:tc>
          <w:tcPr>
            <w:tcW w:w="235" w:type="dxa"/>
            <w:tcBorders/>
            <w:vAlign w:val="center"/>
          </w:tcPr>
          <w:p>
            <w:pPr>
              <w:pStyle w:val="Normal"/>
              <w:spacing w:lineRule="auto" w:line="240" w:before="0" w:after="0"/>
              <w:jc w:val="right"/>
              <w:rPr>
                <w:rFonts w:ascii="Arial" w:hAnsi="Arial" w:cs="Arial"/>
                <w:b/>
                <w:b/>
                <w:lang w:val="uk-UA"/>
              </w:rPr>
            </w:pPr>
            <w:r>
              <w:rPr>
                <w:rFonts w:cs="Arial" w:ascii="Arial" w:hAnsi="Arial"/>
                <w:b/>
                <w:lang w:val="uk-UA"/>
              </w:rPr>
            </w:r>
          </w:p>
        </w:tc>
        <w:tc>
          <w:tcPr>
            <w:tcW w:w="1531"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335,253</w:t>
            </w:r>
          </w:p>
        </w:tc>
      </w:tr>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Фінансові зобов'язання</w:t>
            </w:r>
          </w:p>
        </w:tc>
        <w:tc>
          <w:tcPr>
            <w:tcW w:w="1560" w:type="dxa"/>
            <w:tcBorders>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282"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531" w:type="dxa"/>
            <w:tcBorders>
              <w:top w:val="double" w:sz="4" w:space="0" w:color="000000"/>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r>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Кредити та запозичення</w:t>
            </w:r>
          </w:p>
        </w:tc>
        <w:tc>
          <w:tcPr>
            <w:tcW w:w="1560"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(292,483)</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(292,483)</w:t>
            </w:r>
          </w:p>
        </w:tc>
      </w:tr>
      <w:tr>
        <w:trPr>
          <w:trHeight w:val="20" w:hRule="atLeast"/>
        </w:trPr>
        <w:tc>
          <w:tcPr>
            <w:tcW w:w="3827"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Торгова та інша кредиторська заборгованість</w:t>
            </w:r>
          </w:p>
        </w:tc>
        <w:tc>
          <w:tcPr>
            <w:tcW w:w="1560"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(414,027)</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(3,947)</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tcPr>
          <w:p>
            <w:pPr>
              <w:pStyle w:val="Normal"/>
              <w:spacing w:lineRule="auto" w:line="240" w:before="0" w:after="0"/>
              <w:jc w:val="right"/>
              <w:rPr>
                <w:rFonts w:ascii="Arial" w:hAnsi="Arial" w:eastAsia="Garamond" w:cs="Arial"/>
                <w:lang w:val="uk-UA"/>
              </w:rPr>
            </w:pPr>
            <w:r>
              <w:rPr>
                <w:rFonts w:eastAsia="Garamond" w:cs="Arial" w:ascii="Arial" w:hAnsi="Arial"/>
                <w:lang w:val="uk-UA"/>
              </w:rPr>
              <w:t>(417,974)</w:t>
            </w:r>
          </w:p>
        </w:tc>
      </w:tr>
      <w:tr>
        <w:trPr>
          <w:trHeight w:val="20" w:hRule="atLeast"/>
        </w:trPr>
        <w:tc>
          <w:tcPr>
            <w:tcW w:w="3827" w:type="dxa"/>
            <w:tcBorders/>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r>
          </w:p>
        </w:tc>
        <w:tc>
          <w:tcPr>
            <w:tcW w:w="1560" w:type="dxa"/>
            <w:tcBorders>
              <w:top w:val="single" w:sz="4" w:space="0" w:color="000000"/>
              <w:bottom w:val="single" w:sz="4" w:space="0" w:color="000000"/>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(414,027)</w:t>
            </w:r>
          </w:p>
        </w:tc>
        <w:tc>
          <w:tcPr>
            <w:tcW w:w="282" w:type="dxa"/>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r>
          </w:p>
        </w:tc>
        <w:tc>
          <w:tcPr>
            <w:tcW w:w="1938" w:type="dxa"/>
            <w:tcBorders>
              <w:top w:val="single" w:sz="4" w:space="0" w:color="000000"/>
              <w:bottom w:val="single" w:sz="4" w:space="0" w:color="000000"/>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(296,430)</w:t>
            </w:r>
          </w:p>
        </w:tc>
        <w:tc>
          <w:tcPr>
            <w:tcW w:w="235" w:type="dxa"/>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r>
          </w:p>
        </w:tc>
        <w:tc>
          <w:tcPr>
            <w:tcW w:w="1531" w:type="dxa"/>
            <w:tcBorders>
              <w:top w:val="single" w:sz="4" w:space="0" w:color="000000"/>
              <w:bottom w:val="single" w:sz="4" w:space="0" w:color="000000"/>
            </w:tcBorders>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(710,457)</w:t>
            </w:r>
          </w:p>
        </w:tc>
      </w:tr>
      <w:tr>
        <w:trPr>
          <w:trHeight w:val="20" w:hRule="atLeast"/>
        </w:trPr>
        <w:tc>
          <w:tcPr>
            <w:tcW w:w="3827" w:type="dxa"/>
            <w:tcBorders/>
          </w:tcPr>
          <w:p>
            <w:pPr>
              <w:pStyle w:val="Normal"/>
              <w:spacing w:lineRule="auto" w:line="240" w:before="0" w:after="0"/>
              <w:ind w:left="-108" w:hanging="0"/>
              <w:rPr>
                <w:rFonts w:ascii="Arial" w:hAnsi="Arial" w:cs="Arial"/>
                <w:lang w:val="uk-UA"/>
              </w:rPr>
            </w:pPr>
            <w:r>
              <w:rPr>
                <w:rFonts w:eastAsia="Garamond" w:cs="Arial" w:ascii="Arial" w:hAnsi="Arial"/>
                <w:b/>
                <w:bCs/>
                <w:lang w:val="uk-UA"/>
              </w:rPr>
              <w:t>Нетто позиція</w:t>
            </w:r>
          </w:p>
        </w:tc>
        <w:tc>
          <w:tcPr>
            <w:tcW w:w="1560"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(170,474)</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(204,730)</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(375,204)</w:t>
            </w:r>
          </w:p>
        </w:tc>
      </w:tr>
    </w:tbl>
    <w:p>
      <w:pPr>
        <w:pStyle w:val="Normal"/>
        <w:spacing w:lineRule="auto" w:line="240" w:before="0" w:after="0"/>
        <w:rPr>
          <w:rFonts w:ascii="Arial" w:hAnsi="Arial" w:cs="Arial"/>
          <w:color w:val="0070C0"/>
          <w:sz w:val="10"/>
          <w:szCs w:val="10"/>
          <w:lang w:val="uk-UA"/>
        </w:rPr>
      </w:pPr>
      <w:r>
        <w:rPr>
          <w:rFonts w:cs="Arial" w:ascii="Arial" w:hAnsi="Arial"/>
          <w:color w:val="0070C0"/>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Нижче представлені фінансові активи та зобов’язання в розрізі валют станом на 31 грудня 2018 р.:</w:t>
      </w:r>
    </w:p>
    <w:p>
      <w:pPr>
        <w:pStyle w:val="Normal"/>
        <w:spacing w:lineRule="auto" w:line="240" w:before="0" w:after="0"/>
        <w:jc w:val="both"/>
        <w:rPr>
          <w:rFonts w:ascii="Arial" w:hAnsi="Arial" w:eastAsia="Garamond" w:cs="Arial"/>
          <w:sz w:val="20"/>
          <w:szCs w:val="20"/>
          <w:lang w:val="uk-UA"/>
        </w:rPr>
      </w:pPr>
      <w:r>
        <w:rPr>
          <w:rFonts w:eastAsia="Garamond" w:cs="Arial" w:ascii="Arial" w:hAnsi="Arial"/>
          <w:sz w:val="20"/>
          <w:szCs w:val="20"/>
          <w:lang w:val="uk-UA"/>
        </w:rPr>
      </w:r>
    </w:p>
    <w:tbl>
      <w:tblPr>
        <w:tblW w:w="9374" w:type="dxa"/>
        <w:jc w:val="left"/>
        <w:tblInd w:w="108" w:type="dxa"/>
        <w:tblCellMar>
          <w:top w:w="0" w:type="dxa"/>
          <w:left w:w="108" w:type="dxa"/>
          <w:bottom w:w="0" w:type="dxa"/>
          <w:right w:w="108" w:type="dxa"/>
        </w:tblCellMar>
        <w:tblLook w:firstRow="1" w:noVBand="0" w:lastRow="1" w:firstColumn="1" w:lastColumn="1" w:noHBand="0" w:val="01e0"/>
      </w:tblPr>
      <w:tblGrid>
        <w:gridCol w:w="3685"/>
        <w:gridCol w:w="1702"/>
        <w:gridCol w:w="282"/>
        <w:gridCol w:w="1938"/>
        <w:gridCol w:w="235"/>
        <w:gridCol w:w="1531"/>
      </w:tblGrid>
      <w:tr>
        <w:trPr>
          <w:trHeight w:val="20" w:hRule="atLeast"/>
        </w:trPr>
        <w:tc>
          <w:tcPr>
            <w:tcW w:w="3685" w:type="dxa"/>
            <w:tcBorders/>
            <w:vAlign w:val="center"/>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Фінансові активи</w:t>
            </w:r>
          </w:p>
        </w:tc>
        <w:tc>
          <w:tcPr>
            <w:tcW w:w="1702" w:type="dxa"/>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Гривня</w:t>
            </w:r>
          </w:p>
        </w:tc>
        <w:tc>
          <w:tcPr>
            <w:tcW w:w="282"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938" w:type="dxa"/>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Валюта  (долар, євро)</w:t>
            </w:r>
          </w:p>
        </w:tc>
        <w:tc>
          <w:tcPr>
            <w:tcW w:w="235" w:type="dxa"/>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1531" w:type="dxa"/>
            <w:tcBorders>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b/>
                <w:bCs/>
                <w:lang w:val="uk-UA"/>
              </w:rPr>
              <w:t>Всього</w:t>
            </w:r>
          </w:p>
        </w:tc>
      </w:tr>
      <w:tr>
        <w:trPr>
          <w:trHeight w:val="20" w:hRule="atLeast"/>
        </w:trPr>
        <w:tc>
          <w:tcPr>
            <w:tcW w:w="368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Торгова та інша дебіторська заборгованість</w:t>
            </w:r>
          </w:p>
        </w:tc>
        <w:tc>
          <w:tcPr>
            <w:tcW w:w="1702"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155,633</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155,633</w:t>
            </w:r>
          </w:p>
        </w:tc>
      </w:tr>
      <w:tr>
        <w:trPr>
          <w:trHeight w:val="20" w:hRule="atLeast"/>
        </w:trPr>
        <w:tc>
          <w:tcPr>
            <w:tcW w:w="368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Державні дотації до отримання</w:t>
            </w:r>
          </w:p>
        </w:tc>
        <w:tc>
          <w:tcPr>
            <w:tcW w:w="1702"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153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1,793</w:t>
            </w:r>
          </w:p>
        </w:tc>
      </w:tr>
      <w:tr>
        <w:trPr>
          <w:trHeight w:val="20" w:hRule="atLeast"/>
        </w:trPr>
        <w:tc>
          <w:tcPr>
            <w:tcW w:w="3685" w:type="dxa"/>
            <w:vMerge w:val="restart"/>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Грошові кошти та їх еквіваленти</w:t>
            </w:r>
          </w:p>
        </w:tc>
        <w:tc>
          <w:tcPr>
            <w:tcW w:w="1702"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8,283</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141,185</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tabs>
                <w:tab w:val="clear" w:pos="720"/>
                <w:tab w:val="left" w:pos="880" w:leader="none"/>
                <w:tab w:val="left" w:pos="1500" w:leader="none"/>
              </w:tabs>
              <w:spacing w:lineRule="auto" w:line="240" w:before="0" w:after="0"/>
              <w:jc w:val="right"/>
              <w:rPr>
                <w:rFonts w:ascii="Arial" w:hAnsi="Arial" w:eastAsia="Garamond" w:cs="Arial"/>
                <w:lang w:val="uk-UA"/>
              </w:rPr>
            </w:pPr>
            <w:r>
              <w:rPr>
                <w:rFonts w:eastAsia="Garamond" w:cs="Arial" w:ascii="Arial" w:hAnsi="Arial"/>
                <w:lang w:val="uk-UA"/>
              </w:rPr>
              <w:t>149,468</w:t>
            </w:r>
          </w:p>
        </w:tc>
      </w:tr>
      <w:tr>
        <w:trPr>
          <w:trHeight w:val="20" w:hRule="atLeast"/>
        </w:trPr>
        <w:tc>
          <w:tcPr>
            <w:tcW w:w="3685" w:type="dxa"/>
            <w:vMerge w:val="continue"/>
            <w:tcBorders/>
          </w:tcPr>
          <w:p>
            <w:pPr>
              <w:pStyle w:val="Normal"/>
              <w:spacing w:lineRule="auto" w:line="240" w:before="0" w:after="0"/>
              <w:ind w:left="-108" w:hanging="0"/>
              <w:rPr>
                <w:rFonts w:ascii="Arial" w:hAnsi="Arial" w:cs="Arial"/>
                <w:lang w:val="uk-UA"/>
              </w:rPr>
            </w:pPr>
            <w:r>
              <w:rPr>
                <w:rFonts w:cs="Arial" w:ascii="Arial" w:hAnsi="Arial"/>
                <w:lang w:val="uk-UA"/>
              </w:rPr>
            </w:r>
          </w:p>
        </w:tc>
        <w:tc>
          <w:tcPr>
            <w:tcW w:w="1702"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165,709</w:t>
            </w:r>
          </w:p>
        </w:tc>
        <w:tc>
          <w:tcPr>
            <w:tcW w:w="282" w:type="dxa"/>
            <w:tcBorders/>
            <w:vAlign w:val="center"/>
          </w:tcPr>
          <w:p>
            <w:pPr>
              <w:pStyle w:val="Normal"/>
              <w:spacing w:lineRule="auto" w:line="240" w:before="0" w:after="0"/>
              <w:jc w:val="right"/>
              <w:rPr>
                <w:rFonts w:ascii="Arial" w:hAnsi="Arial" w:cs="Arial"/>
                <w:b/>
                <w:b/>
                <w:lang w:val="uk-UA"/>
              </w:rPr>
            </w:pPr>
            <w:r>
              <w:rPr>
                <w:rFonts w:cs="Arial" w:ascii="Arial" w:hAnsi="Arial"/>
                <w:b/>
                <w:lang w:val="uk-UA"/>
              </w:rPr>
            </w:r>
          </w:p>
        </w:tc>
        <w:tc>
          <w:tcPr>
            <w:tcW w:w="1938"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141,185</w:t>
            </w:r>
          </w:p>
        </w:tc>
        <w:tc>
          <w:tcPr>
            <w:tcW w:w="235" w:type="dxa"/>
            <w:tcBorders/>
            <w:vAlign w:val="center"/>
          </w:tcPr>
          <w:p>
            <w:pPr>
              <w:pStyle w:val="Normal"/>
              <w:spacing w:lineRule="auto" w:line="240" w:before="0" w:after="0"/>
              <w:jc w:val="right"/>
              <w:rPr>
                <w:rFonts w:ascii="Arial" w:hAnsi="Arial" w:cs="Arial"/>
                <w:b/>
                <w:b/>
                <w:lang w:val="uk-UA"/>
              </w:rPr>
            </w:pPr>
            <w:r>
              <w:rPr>
                <w:rFonts w:cs="Arial" w:ascii="Arial" w:hAnsi="Arial"/>
                <w:b/>
                <w:lang w:val="uk-UA"/>
              </w:rPr>
            </w:r>
          </w:p>
        </w:tc>
        <w:tc>
          <w:tcPr>
            <w:tcW w:w="1531"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306,895</w:t>
            </w:r>
          </w:p>
        </w:tc>
      </w:tr>
      <w:tr>
        <w:trPr>
          <w:trHeight w:val="20" w:hRule="atLeast"/>
        </w:trPr>
        <w:tc>
          <w:tcPr>
            <w:tcW w:w="368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b/>
                <w:bCs/>
                <w:lang w:val="uk-UA"/>
              </w:rPr>
              <w:t>Фінансові зобов'язання</w:t>
            </w:r>
          </w:p>
        </w:tc>
        <w:tc>
          <w:tcPr>
            <w:tcW w:w="1702" w:type="dxa"/>
            <w:tcBorders>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282"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c>
          <w:tcPr>
            <w:tcW w:w="235"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531" w:type="dxa"/>
            <w:tcBorders>
              <w:top w:val="double" w:sz="4" w:space="0" w:color="000000"/>
              <w:bottom w:val="single" w:sz="4" w:space="0" w:color="000000"/>
            </w:tcBorders>
            <w:vAlign w:val="center"/>
          </w:tcPr>
          <w:p>
            <w:pPr>
              <w:pStyle w:val="Normal"/>
              <w:spacing w:lineRule="auto" w:line="240" w:before="0" w:after="0"/>
              <w:jc w:val="center"/>
              <w:rPr>
                <w:rFonts w:ascii="Arial" w:hAnsi="Arial" w:eastAsia="Garamond" w:cs="Arial"/>
                <w:lang w:val="uk-UA"/>
              </w:rPr>
            </w:pPr>
            <w:r>
              <w:rPr>
                <w:rFonts w:eastAsia="Garamond" w:cs="Arial" w:ascii="Arial" w:hAnsi="Arial"/>
                <w:lang w:val="uk-UA"/>
              </w:rPr>
            </w:r>
          </w:p>
        </w:tc>
      </w:tr>
      <w:tr>
        <w:trPr>
          <w:trHeight w:val="20" w:hRule="atLeast"/>
        </w:trPr>
        <w:tc>
          <w:tcPr>
            <w:tcW w:w="368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Кредити та запозичення</w:t>
            </w:r>
          </w:p>
        </w:tc>
        <w:tc>
          <w:tcPr>
            <w:tcW w:w="1702"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(181,046)</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(181,046)</w:t>
            </w:r>
          </w:p>
        </w:tc>
      </w:tr>
      <w:tr>
        <w:trPr>
          <w:trHeight w:val="20" w:hRule="atLeast"/>
        </w:trPr>
        <w:tc>
          <w:tcPr>
            <w:tcW w:w="3685"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Торгова та інша кредиторська заборгованість</w:t>
            </w:r>
          </w:p>
        </w:tc>
        <w:tc>
          <w:tcPr>
            <w:tcW w:w="1702"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(429,296)</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(1,281)</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(430,577)</w:t>
            </w:r>
          </w:p>
        </w:tc>
      </w:tr>
      <w:tr>
        <w:trPr>
          <w:trHeight w:val="20" w:hRule="atLeast"/>
        </w:trPr>
        <w:tc>
          <w:tcPr>
            <w:tcW w:w="3685" w:type="dxa"/>
            <w:tcBorders/>
          </w:tcPr>
          <w:p>
            <w:pPr>
              <w:pStyle w:val="Normal"/>
              <w:spacing w:lineRule="auto" w:line="240" w:before="0" w:after="0"/>
              <w:ind w:left="-108" w:hanging="0"/>
              <w:rPr>
                <w:rFonts w:ascii="Arial" w:hAnsi="Arial" w:cs="Arial"/>
                <w:b/>
                <w:b/>
                <w:lang w:val="uk-UA"/>
              </w:rPr>
            </w:pPr>
            <w:r>
              <w:rPr>
                <w:rFonts w:cs="Arial" w:ascii="Arial" w:hAnsi="Arial"/>
                <w:b/>
                <w:lang w:val="uk-UA"/>
              </w:rPr>
            </w:r>
          </w:p>
        </w:tc>
        <w:tc>
          <w:tcPr>
            <w:tcW w:w="1702" w:type="dxa"/>
            <w:tcBorders>
              <w:top w:val="single" w:sz="4" w:space="0" w:color="000000"/>
              <w:bottom w:val="single" w:sz="4" w:space="0" w:color="000000"/>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(429,296)</w:t>
            </w:r>
          </w:p>
        </w:tc>
        <w:tc>
          <w:tcPr>
            <w:tcW w:w="282" w:type="dxa"/>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r>
          </w:p>
        </w:tc>
        <w:tc>
          <w:tcPr>
            <w:tcW w:w="1938" w:type="dxa"/>
            <w:tcBorders>
              <w:top w:val="single" w:sz="4" w:space="0" w:color="000000"/>
              <w:bottom w:val="single" w:sz="4" w:space="0" w:color="000000"/>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(182,327)</w:t>
            </w:r>
          </w:p>
        </w:tc>
        <w:tc>
          <w:tcPr>
            <w:tcW w:w="235" w:type="dxa"/>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r>
          </w:p>
        </w:tc>
        <w:tc>
          <w:tcPr>
            <w:tcW w:w="1531" w:type="dxa"/>
            <w:tcBorders>
              <w:top w:val="single" w:sz="4" w:space="0" w:color="000000"/>
              <w:bottom w:val="single" w:sz="4" w:space="0" w:color="000000"/>
            </w:tcBorders>
            <w:vAlign w:val="center"/>
          </w:tcPr>
          <w:p>
            <w:pPr>
              <w:pStyle w:val="Normal"/>
              <w:spacing w:lineRule="auto" w:line="240" w:before="0" w:after="0"/>
              <w:ind w:left="-108" w:hanging="0"/>
              <w:jc w:val="right"/>
              <w:rPr>
                <w:rFonts w:ascii="Arial" w:hAnsi="Arial" w:eastAsia="Garamond" w:cs="Arial"/>
                <w:b/>
                <w:b/>
                <w:lang w:val="uk-UA"/>
              </w:rPr>
            </w:pPr>
            <w:r>
              <w:rPr>
                <w:rFonts w:eastAsia="Garamond" w:cs="Arial" w:ascii="Arial" w:hAnsi="Arial"/>
                <w:b/>
                <w:lang w:val="uk-UA"/>
              </w:rPr>
              <w:t>(611,623)</w:t>
            </w:r>
          </w:p>
        </w:tc>
      </w:tr>
      <w:tr>
        <w:trPr>
          <w:trHeight w:val="20" w:hRule="atLeast"/>
        </w:trPr>
        <w:tc>
          <w:tcPr>
            <w:tcW w:w="3685" w:type="dxa"/>
            <w:tcBorders/>
          </w:tcPr>
          <w:p>
            <w:pPr>
              <w:pStyle w:val="Normal"/>
              <w:spacing w:lineRule="auto" w:line="240" w:before="0" w:after="0"/>
              <w:ind w:left="-108" w:hanging="0"/>
              <w:rPr>
                <w:rFonts w:ascii="Arial" w:hAnsi="Arial" w:cs="Arial"/>
                <w:lang w:val="uk-UA"/>
              </w:rPr>
            </w:pPr>
            <w:r>
              <w:rPr>
                <w:rFonts w:eastAsia="Garamond" w:cs="Arial" w:ascii="Arial" w:hAnsi="Arial"/>
                <w:b/>
                <w:bCs/>
                <w:lang w:val="uk-UA"/>
              </w:rPr>
              <w:t>Нетто позиція</w:t>
            </w:r>
          </w:p>
        </w:tc>
        <w:tc>
          <w:tcPr>
            <w:tcW w:w="1702"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(263,587)</w:t>
            </w:r>
          </w:p>
        </w:tc>
        <w:tc>
          <w:tcPr>
            <w:tcW w:w="282"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938"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(41,142)</w:t>
            </w:r>
          </w:p>
        </w:tc>
        <w:tc>
          <w:tcPr>
            <w:tcW w:w="235" w:type="dxa"/>
            <w:tcBorders/>
            <w:vAlign w:val="center"/>
          </w:tcPr>
          <w:p>
            <w:pPr>
              <w:pStyle w:val="Normal"/>
              <w:spacing w:lineRule="auto" w:line="240" w:before="0" w:after="0"/>
              <w:jc w:val="right"/>
              <w:rPr>
                <w:rFonts w:ascii="Arial" w:hAnsi="Arial" w:cs="Arial"/>
                <w:lang w:val="uk-UA"/>
              </w:rPr>
            </w:pPr>
            <w:r>
              <w:rPr>
                <w:rFonts w:cs="Arial" w:ascii="Arial" w:hAnsi="Arial"/>
                <w:lang w:val="uk-UA"/>
              </w:rPr>
            </w:r>
          </w:p>
        </w:tc>
        <w:tc>
          <w:tcPr>
            <w:tcW w:w="1531" w:type="dxa"/>
            <w:tcBorders>
              <w:top w:val="single" w:sz="4" w:space="0" w:color="000000"/>
              <w:bottom w:val="doub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(304,728)</w:t>
            </w:r>
          </w:p>
        </w:tc>
      </w:tr>
    </w:tbl>
    <w:p>
      <w:pPr>
        <w:pStyle w:val="Normal"/>
        <w:spacing w:lineRule="auto" w:line="240" w:before="0" w:after="0"/>
        <w:jc w:val="both"/>
        <w:rPr>
          <w:rFonts w:ascii="Arial" w:hAnsi="Arial" w:eastAsia="Garamond" w:cs="Arial"/>
          <w:sz w:val="16"/>
          <w:szCs w:val="16"/>
          <w:u w:val="single" w:color="000000"/>
          <w:lang w:val="uk-UA"/>
        </w:rPr>
      </w:pPr>
      <w:r>
        <w:rPr>
          <w:rFonts w:eastAsia="Garamond" w:cs="Arial" w:ascii="Arial" w:hAnsi="Arial"/>
          <w:sz w:val="16"/>
          <w:szCs w:val="16"/>
          <w:u w:val="single" w:color="000000"/>
          <w:lang w:val="uk-UA"/>
        </w:rPr>
      </w:r>
    </w:p>
    <w:p>
      <w:pPr>
        <w:pStyle w:val="Normal"/>
        <w:spacing w:lineRule="auto" w:line="240" w:before="0" w:after="0"/>
        <w:jc w:val="both"/>
        <w:rPr>
          <w:rFonts w:ascii="Arial" w:hAnsi="Arial" w:eastAsia="Garamond" w:cs="Arial"/>
          <w:b/>
          <w:b/>
          <w:sz w:val="24"/>
          <w:szCs w:val="24"/>
          <w:lang w:val="uk-UA"/>
        </w:rPr>
      </w:pPr>
      <w:r>
        <w:rPr>
          <w:rFonts w:eastAsia="Garamond" w:cs="Arial" w:ascii="Arial" w:hAnsi="Arial"/>
          <w:b/>
          <w:sz w:val="24"/>
          <w:szCs w:val="24"/>
          <w:lang w:val="uk-UA"/>
        </w:rPr>
        <w:t>Інші цінові ризики</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Компанія не схильна до ризику зміни вартості капіталу, оскільки не має інвестицій, які класифікуються в Звіті про фінансовий стан або як наявні для продажу, або за справедливою вартістю через прибуток або збиток.</w:t>
      </w:r>
    </w:p>
    <w:p>
      <w:pPr>
        <w:pStyle w:val="Normal"/>
        <w:spacing w:lineRule="auto" w:line="240" w:before="0" w:after="0"/>
        <w:jc w:val="both"/>
        <w:rPr>
          <w:rFonts w:ascii="Arial" w:hAnsi="Arial" w:eastAsia="Garamond" w:cs="Arial"/>
          <w:sz w:val="10"/>
          <w:szCs w:val="10"/>
          <w:u w:val="single" w:color="000000"/>
          <w:lang w:val="uk-UA"/>
        </w:rPr>
      </w:pPr>
      <w:r>
        <w:rPr>
          <w:rFonts w:eastAsia="Garamond" w:cs="Arial" w:ascii="Arial" w:hAnsi="Arial"/>
          <w:sz w:val="10"/>
          <w:szCs w:val="10"/>
          <w:u w:val="single" w:color="000000"/>
          <w:lang w:val="uk-UA"/>
        </w:rPr>
      </w:r>
    </w:p>
    <w:p>
      <w:pPr>
        <w:pStyle w:val="Normal"/>
        <w:spacing w:lineRule="auto" w:line="240" w:before="0" w:after="0"/>
        <w:jc w:val="both"/>
        <w:rPr>
          <w:rFonts w:ascii="Arial" w:hAnsi="Arial" w:eastAsia="Garamond" w:cs="Arial"/>
          <w:b/>
          <w:b/>
          <w:sz w:val="24"/>
          <w:szCs w:val="24"/>
          <w:lang w:val="uk-UA"/>
        </w:rPr>
      </w:pPr>
      <w:r>
        <w:rPr>
          <w:rFonts w:eastAsia="Garamond" w:cs="Arial" w:ascii="Arial" w:hAnsi="Arial"/>
          <w:b/>
          <w:sz w:val="24"/>
          <w:szCs w:val="24"/>
          <w:lang w:val="uk-UA"/>
        </w:rPr>
        <w:t>Ризик ліквідності</w:t>
      </w:r>
    </w:p>
    <w:p>
      <w:pPr>
        <w:pStyle w:val="Normal"/>
        <w:spacing w:lineRule="auto" w:line="240" w:before="0" w:after="0"/>
        <w:rPr>
          <w:rFonts w:ascii="Arial" w:hAnsi="Arial" w:cs="Arial"/>
          <w:sz w:val="10"/>
          <w:szCs w:val="10"/>
          <w:lang w:val="uk-UA"/>
        </w:rPr>
      </w:pPr>
      <w:r>
        <w:rPr>
          <w:rFonts w:cs="Arial" w:ascii="Arial" w:hAnsi="Arial"/>
          <w:sz w:val="10"/>
          <w:szCs w:val="10"/>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Ризик ліквідності виникає тоді, коли термін погашення активів та зобов’язань не збігається. Розбіжність даних позицій потенційно підвищує прибутковість, але може також збільшити ризик виникнення збитків. З метою мінімізації втрат Компанія проводить такі процедури як підтримка достатньої кількості грошових коштів та інших високоліквідних активів та відкриття достатньої кількості кредитних ліній. Керівництво здійснює моніторинг щомісячних плаваючих прогнозів грошових потоків Компанії.</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 xml:space="preserve">Основна частина зобов’язань Компанії включає зобов’язання перед постачальниками енергоресурсів. Основні джерела надходження грошових коштів включають платежі споживачів за теплопостачання, гаряче водопостачання та трансфертів з бюджету. У зв’язку з тим, що тарифи на теплопостачання і гаряче водопостачання та умови розрахунків зі споживачами регулюються </w:t>
      </w:r>
      <w:r>
        <w:rPr>
          <w:rFonts w:cs="Arial" w:ascii="Arial" w:hAnsi="Arial"/>
          <w:sz w:val="24"/>
          <w:szCs w:val="24"/>
          <w:lang w:val="uk-UA"/>
        </w:rPr>
        <w:t xml:space="preserve">Національною комісією, що здійснює регулювання у сфері комунальних послуг, </w:t>
      </w:r>
      <w:r>
        <w:rPr>
          <w:rFonts w:eastAsia="Garamond" w:cs="Arial" w:ascii="Arial" w:hAnsi="Arial"/>
          <w:sz w:val="24"/>
          <w:szCs w:val="24"/>
          <w:lang w:val="uk-UA"/>
        </w:rPr>
        <w:t>та законами України. Можливості Компанії щодо управління ризиком ліквідності обмежені.</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У нижченаведених таблицях представлені суми зобов’язань за строками, що залишились до погашення. Суми, розкриті у таблиці, це контрактні недисконтовані потоки грошових коштів, в тому числі валова сума зобов’язань з фінансової оренди та торгової і іншої кредиторської заборгованості.</w:t>
      </w:r>
    </w:p>
    <w:p>
      <w:pPr>
        <w:pStyle w:val="Normal"/>
        <w:spacing w:lineRule="auto" w:line="240" w:before="0" w:after="0"/>
        <w:rPr>
          <w:rFonts w:ascii="Arial" w:hAnsi="Arial" w:cs="Arial"/>
          <w:sz w:val="6"/>
          <w:szCs w:val="6"/>
          <w:lang w:val="uk-UA"/>
        </w:rPr>
      </w:pPr>
      <w:r>
        <w:rPr>
          <w:rFonts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Аналіз фінансових зобов’язань за строками погашення, що визначені договорами, станом на 31 грудня 2019 р. був представлений наступним чином:</w:t>
      </w:r>
    </w:p>
    <w:p>
      <w:pPr>
        <w:pStyle w:val="Normal"/>
        <w:spacing w:lineRule="auto" w:line="240" w:before="0" w:after="0"/>
        <w:jc w:val="both"/>
        <w:rPr>
          <w:rFonts w:ascii="Arial" w:hAnsi="Arial" w:eastAsia="Garamond" w:cs="Arial"/>
          <w:sz w:val="10"/>
          <w:szCs w:val="10"/>
          <w:lang w:val="uk-UA"/>
        </w:rPr>
      </w:pPr>
      <w:r>
        <w:rPr>
          <w:rFonts w:eastAsia="Garamond" w:cs="Arial" w:ascii="Arial" w:hAnsi="Arial"/>
          <w:sz w:val="10"/>
          <w:szCs w:val="10"/>
          <w:lang w:val="uk-UA"/>
        </w:rPr>
      </w:r>
    </w:p>
    <w:tbl>
      <w:tblPr>
        <w:tblW w:w="9446" w:type="dxa"/>
        <w:jc w:val="left"/>
        <w:tblInd w:w="108" w:type="dxa"/>
        <w:tblCellMar>
          <w:top w:w="0" w:type="dxa"/>
          <w:left w:w="108" w:type="dxa"/>
          <w:bottom w:w="0" w:type="dxa"/>
          <w:right w:w="108" w:type="dxa"/>
        </w:tblCellMar>
        <w:tblLook w:firstRow="1" w:noVBand="0" w:lastRow="1" w:firstColumn="1" w:lastColumn="1" w:noHBand="0" w:val="01e0"/>
      </w:tblPr>
      <w:tblGrid>
        <w:gridCol w:w="3260"/>
        <w:gridCol w:w="1178"/>
        <w:gridCol w:w="1515"/>
        <w:gridCol w:w="1134"/>
        <w:gridCol w:w="1181"/>
        <w:gridCol w:w="1177"/>
      </w:tblGrid>
      <w:tr>
        <w:trPr>
          <w:trHeight w:val="20" w:hRule="atLeast"/>
        </w:trPr>
        <w:tc>
          <w:tcPr>
            <w:tcW w:w="3260"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178"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За вимогою</w:t>
            </w:r>
          </w:p>
        </w:tc>
        <w:tc>
          <w:tcPr>
            <w:tcW w:w="1515"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b/>
                <w:b/>
                <w:bCs/>
                <w:lang w:val="uk-UA"/>
              </w:rPr>
            </w:pPr>
            <w:r>
              <w:rPr>
                <w:rFonts w:eastAsia="Garamond" w:cs="Arial" w:ascii="Arial" w:hAnsi="Arial"/>
                <w:b/>
                <w:bCs/>
                <w:lang w:val="uk-UA"/>
              </w:rPr>
              <w:t xml:space="preserve">Менше, </w:t>
            </w:r>
          </w:p>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ніж 3 місяці</w:t>
            </w:r>
          </w:p>
        </w:tc>
        <w:tc>
          <w:tcPr>
            <w:tcW w:w="1134"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Від 3 до 12 місяців</w:t>
            </w:r>
          </w:p>
        </w:tc>
        <w:tc>
          <w:tcPr>
            <w:tcW w:w="1181"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Більше року</w:t>
            </w:r>
          </w:p>
        </w:tc>
        <w:tc>
          <w:tcPr>
            <w:tcW w:w="1177"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Всього</w:t>
            </w:r>
          </w:p>
        </w:tc>
      </w:tr>
      <w:tr>
        <w:trPr>
          <w:trHeight w:val="20" w:hRule="atLeast"/>
        </w:trPr>
        <w:tc>
          <w:tcPr>
            <w:tcW w:w="3260"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Кредити та запозичення</w:t>
            </w:r>
          </w:p>
        </w:tc>
        <w:tc>
          <w:tcPr>
            <w:tcW w:w="1178"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w:t>
            </w:r>
          </w:p>
        </w:tc>
        <w:tc>
          <w:tcPr>
            <w:tcW w:w="151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w:t>
            </w:r>
          </w:p>
        </w:tc>
        <w:tc>
          <w:tcPr>
            <w:tcW w:w="1134"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31,939</w:t>
            </w:r>
          </w:p>
        </w:tc>
        <w:tc>
          <w:tcPr>
            <w:tcW w:w="118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260,544</w:t>
            </w:r>
          </w:p>
        </w:tc>
        <w:tc>
          <w:tcPr>
            <w:tcW w:w="1177" w:type="dxa"/>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292,483</w:t>
            </w:r>
          </w:p>
        </w:tc>
      </w:tr>
      <w:tr>
        <w:trPr>
          <w:trHeight w:val="20" w:hRule="atLeast"/>
        </w:trPr>
        <w:tc>
          <w:tcPr>
            <w:tcW w:w="3260" w:type="dxa"/>
            <w:tcBorders/>
          </w:tcPr>
          <w:p>
            <w:pPr>
              <w:pStyle w:val="Normal"/>
              <w:spacing w:lineRule="auto" w:line="240" w:before="0" w:after="0"/>
              <w:ind w:left="-108" w:hanging="0"/>
              <w:jc w:val="both"/>
              <w:rPr>
                <w:rFonts w:ascii="Arial" w:hAnsi="Arial" w:eastAsia="Garamond" w:cs="Arial"/>
                <w:lang w:val="uk-UA"/>
              </w:rPr>
            </w:pPr>
            <w:r>
              <w:rPr>
                <w:rFonts w:eastAsia="Garamond" w:cs="Arial" w:ascii="Arial" w:hAnsi="Arial"/>
                <w:lang w:val="uk-UA"/>
              </w:rPr>
              <w:t>Торгова та інша кредиторська заборгованість</w:t>
            </w:r>
          </w:p>
        </w:tc>
        <w:tc>
          <w:tcPr>
            <w:tcW w:w="1178"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131,595</w:t>
            </w:r>
          </w:p>
        </w:tc>
        <w:tc>
          <w:tcPr>
            <w:tcW w:w="1515"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148,861</w:t>
            </w:r>
          </w:p>
        </w:tc>
        <w:tc>
          <w:tcPr>
            <w:tcW w:w="1134"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137,518</w:t>
            </w:r>
          </w:p>
        </w:tc>
        <w:tc>
          <w:tcPr>
            <w:tcW w:w="1181" w:type="dxa"/>
            <w:tcBorders>
              <w:bottom w:val="single" w:sz="4" w:space="0" w:color="000000"/>
            </w:tcBorders>
            <w:vAlign w:val="center"/>
          </w:tcPr>
          <w:p>
            <w:pPr>
              <w:pStyle w:val="Normal"/>
              <w:spacing w:lineRule="auto" w:line="240" w:before="0" w:after="0"/>
              <w:jc w:val="right"/>
              <w:rPr>
                <w:rFonts w:ascii="Arial" w:hAnsi="Arial" w:cs="Arial"/>
                <w:lang w:val="uk-UA"/>
              </w:rPr>
            </w:pPr>
            <w:r>
              <w:rPr>
                <w:rFonts w:cs="Arial" w:ascii="Arial" w:hAnsi="Arial"/>
                <w:lang w:val="uk-UA"/>
              </w:rPr>
              <w:t>1,429</w:t>
            </w:r>
          </w:p>
        </w:tc>
        <w:tc>
          <w:tcPr>
            <w:tcW w:w="1177" w:type="dxa"/>
            <w:tcBorders>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419,403</w:t>
            </w:r>
          </w:p>
        </w:tc>
      </w:tr>
      <w:tr>
        <w:trPr>
          <w:trHeight w:val="20" w:hRule="atLeast"/>
        </w:trPr>
        <w:tc>
          <w:tcPr>
            <w:tcW w:w="3260" w:type="dxa"/>
            <w:tcBorders/>
          </w:tcPr>
          <w:p>
            <w:pPr>
              <w:pStyle w:val="Normal"/>
              <w:spacing w:lineRule="auto" w:line="240" w:before="0" w:after="0"/>
              <w:rPr>
                <w:rFonts w:ascii="Arial" w:hAnsi="Arial" w:cs="Arial"/>
                <w:lang w:val="uk-UA"/>
              </w:rPr>
            </w:pPr>
            <w:r>
              <w:rPr>
                <w:rFonts w:cs="Arial" w:ascii="Arial" w:hAnsi="Arial"/>
                <w:lang w:val="uk-UA"/>
              </w:rPr>
            </w:r>
          </w:p>
        </w:tc>
        <w:tc>
          <w:tcPr>
            <w:tcW w:w="1178"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131,595</w:t>
            </w:r>
          </w:p>
        </w:tc>
        <w:tc>
          <w:tcPr>
            <w:tcW w:w="1515"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148,861</w:t>
            </w:r>
          </w:p>
        </w:tc>
        <w:tc>
          <w:tcPr>
            <w:tcW w:w="1134"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169,457</w:t>
            </w:r>
          </w:p>
        </w:tc>
        <w:tc>
          <w:tcPr>
            <w:tcW w:w="1181"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261,973</w:t>
            </w:r>
          </w:p>
        </w:tc>
        <w:tc>
          <w:tcPr>
            <w:tcW w:w="1177"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711,886</w:t>
            </w:r>
          </w:p>
        </w:tc>
      </w:tr>
    </w:tbl>
    <w:p>
      <w:pPr>
        <w:pStyle w:val="Normal"/>
        <w:spacing w:lineRule="auto" w:line="240" w:before="0" w:after="0"/>
        <w:jc w:val="both"/>
        <w:rPr>
          <w:rFonts w:ascii="Arial" w:hAnsi="Arial" w:eastAsia="Garamond" w:cs="Arial"/>
          <w:sz w:val="6"/>
          <w:szCs w:val="6"/>
          <w:lang w:val="uk-UA"/>
        </w:rPr>
      </w:pPr>
      <w:r>
        <w:rPr>
          <w:rFonts w:eastAsia="Garamond" w:cs="Arial" w:ascii="Arial" w:hAnsi="Arial"/>
          <w:sz w:val="6"/>
          <w:szCs w:val="6"/>
          <w:lang w:val="uk-UA"/>
        </w:rPr>
      </w:r>
    </w:p>
    <w:p>
      <w:pPr>
        <w:pStyle w:val="Normal"/>
        <w:spacing w:lineRule="auto" w:line="240" w:before="0" w:after="0"/>
        <w:jc w:val="both"/>
        <w:rPr>
          <w:rFonts w:ascii="Arial" w:hAnsi="Arial" w:eastAsia="Garamond" w:cs="Arial"/>
          <w:sz w:val="24"/>
          <w:szCs w:val="24"/>
          <w:lang w:val="uk-UA"/>
        </w:rPr>
      </w:pPr>
      <w:r>
        <w:rPr>
          <w:rFonts w:eastAsia="Garamond" w:cs="Arial" w:ascii="Arial" w:hAnsi="Arial"/>
          <w:sz w:val="24"/>
          <w:szCs w:val="24"/>
          <w:lang w:val="uk-UA"/>
        </w:rPr>
        <w:t>Аналіз фінансових зобов’язань за контрактними строками погашення на 31 грудня 2018 р. був представлений наступним чином:</w:t>
      </w:r>
    </w:p>
    <w:tbl>
      <w:tblPr>
        <w:tblW w:w="9446" w:type="dxa"/>
        <w:jc w:val="left"/>
        <w:tblInd w:w="108" w:type="dxa"/>
        <w:tblCellMar>
          <w:top w:w="0" w:type="dxa"/>
          <w:left w:w="108" w:type="dxa"/>
          <w:bottom w:w="0" w:type="dxa"/>
          <w:right w:w="108" w:type="dxa"/>
        </w:tblCellMar>
        <w:tblLook w:firstRow="1" w:noVBand="0" w:lastRow="1" w:firstColumn="1" w:lastColumn="1" w:noHBand="0" w:val="01e0"/>
      </w:tblPr>
      <w:tblGrid>
        <w:gridCol w:w="3260"/>
        <w:gridCol w:w="1178"/>
        <w:gridCol w:w="1515"/>
        <w:gridCol w:w="1134"/>
        <w:gridCol w:w="1181"/>
        <w:gridCol w:w="1177"/>
      </w:tblGrid>
      <w:tr>
        <w:trPr>
          <w:trHeight w:val="20" w:hRule="atLeast"/>
        </w:trPr>
        <w:tc>
          <w:tcPr>
            <w:tcW w:w="3260" w:type="dxa"/>
            <w:tcBorders/>
            <w:vAlign w:val="center"/>
          </w:tcPr>
          <w:p>
            <w:pPr>
              <w:pStyle w:val="Normal"/>
              <w:spacing w:lineRule="auto" w:line="240" w:before="0" w:after="0"/>
              <w:jc w:val="center"/>
              <w:rPr>
                <w:rFonts w:ascii="Arial" w:hAnsi="Arial" w:cs="Arial"/>
                <w:lang w:val="uk-UA"/>
              </w:rPr>
            </w:pPr>
            <w:r>
              <w:rPr>
                <w:rFonts w:cs="Arial" w:ascii="Arial" w:hAnsi="Arial"/>
                <w:lang w:val="uk-UA"/>
              </w:rPr>
            </w:r>
          </w:p>
        </w:tc>
        <w:tc>
          <w:tcPr>
            <w:tcW w:w="1178"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За вимогою</w:t>
            </w:r>
          </w:p>
        </w:tc>
        <w:tc>
          <w:tcPr>
            <w:tcW w:w="1515"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b/>
                <w:b/>
                <w:bCs/>
                <w:lang w:val="uk-UA"/>
              </w:rPr>
            </w:pPr>
            <w:r>
              <w:rPr>
                <w:rFonts w:eastAsia="Garamond" w:cs="Arial" w:ascii="Arial" w:hAnsi="Arial"/>
                <w:b/>
                <w:bCs/>
                <w:lang w:val="uk-UA"/>
              </w:rPr>
              <w:t xml:space="preserve">Менше, </w:t>
            </w:r>
          </w:p>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ніж 3 місяці</w:t>
            </w:r>
          </w:p>
        </w:tc>
        <w:tc>
          <w:tcPr>
            <w:tcW w:w="1134"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Від 3 до 12 місяців</w:t>
            </w:r>
          </w:p>
        </w:tc>
        <w:tc>
          <w:tcPr>
            <w:tcW w:w="1181"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Більше року</w:t>
            </w:r>
          </w:p>
        </w:tc>
        <w:tc>
          <w:tcPr>
            <w:tcW w:w="1177" w:type="dxa"/>
            <w:tcBorders>
              <w:bottom w:val="single" w:sz="4" w:space="0" w:color="000000"/>
            </w:tcBorders>
            <w:vAlign w:val="center"/>
          </w:tcPr>
          <w:p>
            <w:pPr>
              <w:pStyle w:val="Normal"/>
              <w:spacing w:lineRule="auto" w:line="240" w:before="0" w:after="0"/>
              <w:ind w:left="-108" w:right="-108" w:hanging="0"/>
              <w:jc w:val="center"/>
              <w:rPr>
                <w:rFonts w:ascii="Arial" w:hAnsi="Arial" w:eastAsia="Garamond" w:cs="Arial"/>
                <w:lang w:val="uk-UA"/>
              </w:rPr>
            </w:pPr>
            <w:r>
              <w:rPr>
                <w:rFonts w:eastAsia="Garamond" w:cs="Arial" w:ascii="Arial" w:hAnsi="Arial"/>
                <w:b/>
                <w:bCs/>
                <w:lang w:val="uk-UA"/>
              </w:rPr>
              <w:t>Всього</w:t>
            </w:r>
          </w:p>
        </w:tc>
      </w:tr>
      <w:tr>
        <w:trPr>
          <w:trHeight w:val="20" w:hRule="atLeast"/>
        </w:trPr>
        <w:tc>
          <w:tcPr>
            <w:tcW w:w="3260" w:type="dxa"/>
            <w:tcBorders/>
          </w:tcPr>
          <w:p>
            <w:pPr>
              <w:pStyle w:val="Normal"/>
              <w:spacing w:lineRule="auto" w:line="240" w:before="0" w:after="0"/>
              <w:ind w:left="-108" w:hanging="0"/>
              <w:rPr>
                <w:rFonts w:ascii="Arial" w:hAnsi="Arial" w:eastAsia="Garamond" w:cs="Arial"/>
                <w:lang w:val="uk-UA"/>
              </w:rPr>
            </w:pPr>
            <w:r>
              <w:rPr>
                <w:rFonts w:eastAsia="Garamond" w:cs="Arial" w:ascii="Arial" w:hAnsi="Arial"/>
                <w:lang w:val="uk-UA"/>
              </w:rPr>
              <w:t>Кредити та запозичення</w:t>
            </w:r>
          </w:p>
        </w:tc>
        <w:tc>
          <w:tcPr>
            <w:tcW w:w="1178"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w:t>
            </w:r>
          </w:p>
        </w:tc>
        <w:tc>
          <w:tcPr>
            <w:tcW w:w="1515"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w:t>
            </w:r>
          </w:p>
        </w:tc>
        <w:tc>
          <w:tcPr>
            <w:tcW w:w="1134"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18,910</w:t>
            </w:r>
          </w:p>
        </w:tc>
        <w:tc>
          <w:tcPr>
            <w:tcW w:w="1181" w:type="dxa"/>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162,136</w:t>
            </w:r>
          </w:p>
        </w:tc>
        <w:tc>
          <w:tcPr>
            <w:tcW w:w="1177" w:type="dxa"/>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181,046</w:t>
            </w:r>
          </w:p>
        </w:tc>
      </w:tr>
      <w:tr>
        <w:trPr>
          <w:trHeight w:val="20" w:hRule="atLeast"/>
        </w:trPr>
        <w:tc>
          <w:tcPr>
            <w:tcW w:w="3260" w:type="dxa"/>
            <w:tcBorders/>
          </w:tcPr>
          <w:p>
            <w:pPr>
              <w:pStyle w:val="Normal"/>
              <w:spacing w:lineRule="auto" w:line="240" w:before="0" w:after="0"/>
              <w:ind w:left="-108" w:hanging="0"/>
              <w:jc w:val="both"/>
              <w:rPr>
                <w:rFonts w:ascii="Arial" w:hAnsi="Arial" w:eastAsia="Garamond" w:cs="Arial"/>
                <w:lang w:val="uk-UA"/>
              </w:rPr>
            </w:pPr>
            <w:r>
              <w:rPr>
                <w:rFonts w:eastAsia="Garamond" w:cs="Arial" w:ascii="Arial" w:hAnsi="Arial"/>
                <w:lang w:val="uk-UA"/>
              </w:rPr>
              <w:t>Торгова та інша кредиторська заборгованість</w:t>
            </w:r>
          </w:p>
        </w:tc>
        <w:tc>
          <w:tcPr>
            <w:tcW w:w="1178"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113,849</w:t>
            </w:r>
          </w:p>
        </w:tc>
        <w:tc>
          <w:tcPr>
            <w:tcW w:w="1515"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44,037</w:t>
            </w:r>
          </w:p>
        </w:tc>
        <w:tc>
          <w:tcPr>
            <w:tcW w:w="1134" w:type="dxa"/>
            <w:tcBorders>
              <w:bottom w:val="single" w:sz="4" w:space="0" w:color="000000"/>
            </w:tcBorders>
            <w:vAlign w:val="center"/>
          </w:tcPr>
          <w:p>
            <w:pPr>
              <w:pStyle w:val="Normal"/>
              <w:spacing w:lineRule="auto" w:line="240" w:before="0" w:after="0"/>
              <w:jc w:val="right"/>
              <w:rPr>
                <w:rFonts w:ascii="Arial" w:hAnsi="Arial" w:eastAsia="Garamond" w:cs="Arial"/>
                <w:lang w:val="uk-UA"/>
              </w:rPr>
            </w:pPr>
            <w:r>
              <w:rPr>
                <w:rFonts w:eastAsia="Garamond" w:cs="Arial" w:ascii="Arial" w:hAnsi="Arial"/>
                <w:lang w:val="uk-UA"/>
              </w:rPr>
              <w:t>272,691</w:t>
            </w:r>
          </w:p>
        </w:tc>
        <w:tc>
          <w:tcPr>
            <w:tcW w:w="1181" w:type="dxa"/>
            <w:tcBorders>
              <w:bottom w:val="single" w:sz="4" w:space="0" w:color="000000"/>
            </w:tcBorders>
            <w:vAlign w:val="center"/>
          </w:tcPr>
          <w:p>
            <w:pPr>
              <w:pStyle w:val="Normal"/>
              <w:spacing w:lineRule="auto" w:line="240" w:before="0" w:after="0"/>
              <w:jc w:val="right"/>
              <w:rPr>
                <w:rFonts w:ascii="Arial" w:hAnsi="Arial" w:cs="Arial"/>
                <w:lang w:val="uk-UA"/>
              </w:rPr>
            </w:pPr>
            <w:r>
              <w:rPr>
                <w:rFonts w:cs="Arial" w:ascii="Arial" w:hAnsi="Arial"/>
                <w:lang w:val="uk-UA"/>
              </w:rPr>
              <w:t>-</w:t>
            </w:r>
          </w:p>
        </w:tc>
        <w:tc>
          <w:tcPr>
            <w:tcW w:w="1177" w:type="dxa"/>
            <w:tcBorders>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430,577</w:t>
            </w:r>
          </w:p>
        </w:tc>
      </w:tr>
      <w:tr>
        <w:trPr>
          <w:trHeight w:val="20" w:hRule="atLeast"/>
        </w:trPr>
        <w:tc>
          <w:tcPr>
            <w:tcW w:w="3260" w:type="dxa"/>
            <w:tcBorders/>
          </w:tcPr>
          <w:p>
            <w:pPr>
              <w:pStyle w:val="Normal"/>
              <w:spacing w:lineRule="auto" w:line="240" w:before="0" w:after="0"/>
              <w:rPr>
                <w:rFonts w:ascii="Arial" w:hAnsi="Arial" w:cs="Arial"/>
                <w:lang w:val="uk-UA"/>
              </w:rPr>
            </w:pPr>
            <w:r>
              <w:rPr>
                <w:rFonts w:cs="Arial" w:ascii="Arial" w:hAnsi="Arial"/>
                <w:lang w:val="uk-UA"/>
              </w:rPr>
            </w:r>
          </w:p>
        </w:tc>
        <w:tc>
          <w:tcPr>
            <w:tcW w:w="1178"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285,600</w:t>
            </w:r>
          </w:p>
        </w:tc>
        <w:tc>
          <w:tcPr>
            <w:tcW w:w="1515"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1,657</w:t>
            </w:r>
          </w:p>
        </w:tc>
        <w:tc>
          <w:tcPr>
            <w:tcW w:w="1134"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7,899</w:t>
            </w:r>
          </w:p>
        </w:tc>
        <w:tc>
          <w:tcPr>
            <w:tcW w:w="1181"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39,766</w:t>
            </w:r>
          </w:p>
        </w:tc>
        <w:tc>
          <w:tcPr>
            <w:tcW w:w="1177" w:type="dxa"/>
            <w:tcBorders>
              <w:top w:val="single" w:sz="4" w:space="0" w:color="000000"/>
              <w:bottom w:val="single" w:sz="4" w:space="0" w:color="000000"/>
            </w:tcBorders>
            <w:vAlign w:val="center"/>
          </w:tcPr>
          <w:p>
            <w:pPr>
              <w:pStyle w:val="Normal"/>
              <w:spacing w:lineRule="auto" w:line="240" w:before="0" w:after="0"/>
              <w:jc w:val="right"/>
              <w:rPr>
                <w:rFonts w:ascii="Arial" w:hAnsi="Arial" w:eastAsia="Garamond" w:cs="Arial"/>
                <w:b/>
                <w:b/>
                <w:lang w:val="uk-UA"/>
              </w:rPr>
            </w:pPr>
            <w:r>
              <w:rPr>
                <w:rFonts w:eastAsia="Garamond" w:cs="Arial" w:ascii="Arial" w:hAnsi="Arial"/>
                <w:b/>
                <w:lang w:val="uk-UA"/>
              </w:rPr>
              <w:t>334,922</w:t>
            </w:r>
          </w:p>
        </w:tc>
      </w:tr>
    </w:tbl>
    <w:p>
      <w:pPr>
        <w:pStyle w:val="Normal"/>
        <w:spacing w:lineRule="auto" w:line="240" w:before="0" w:after="0"/>
        <w:jc w:val="both"/>
        <w:rPr>
          <w:rFonts w:ascii="Arial" w:hAnsi="Arial" w:eastAsia="Garamond" w:cs="Arial"/>
          <w:sz w:val="20"/>
          <w:szCs w:val="20"/>
          <w:lang w:val="uk-UA"/>
        </w:rPr>
      </w:pPr>
      <w:r>
        <w:rPr>
          <w:rFonts w:eastAsia="Garamond" w:cs="Arial" w:ascii="Arial" w:hAnsi="Arial"/>
          <w:sz w:val="20"/>
          <w:szCs w:val="20"/>
          <w:lang w:val="uk-UA"/>
        </w:rPr>
      </w:r>
    </w:p>
    <w:p>
      <w:pPr>
        <w:pStyle w:val="Normal"/>
        <w:spacing w:lineRule="auto" w:line="240" w:before="0" w:after="0"/>
        <w:jc w:val="both"/>
        <w:rPr>
          <w:rFonts w:ascii="Arial" w:hAnsi="Arial" w:eastAsia="Garamond" w:cs="Arial"/>
          <w:sz w:val="24"/>
          <w:szCs w:val="24"/>
          <w:lang w:val="uk-UA"/>
        </w:rPr>
      </w:pPr>
      <w:r>
        <w:rPr/>
      </w:r>
    </w:p>
    <w:sectPr>
      <w:headerReference w:type="default" r:id="rId2"/>
      <w:headerReference w:type="first" r:id="rId3"/>
      <w:footerReference w:type="default" r:id="rId4"/>
      <w:footerReference w:type="first" r:id="rId5"/>
      <w:type w:val="nextPage"/>
      <w:pgSz w:w="11906" w:h="16838"/>
      <w:pgMar w:left="1701" w:right="851" w:header="709" w:top="1134" w:footer="397"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Garamond">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8831908"/>
    </w:sdtPr>
    <w:sdtContent>
      <w:p>
        <w:pPr>
          <w:pStyle w:val="Style25"/>
          <w:pBdr>
            <w:top w:val="single" w:sz="4" w:space="1" w:color="000000"/>
          </w:pBdr>
          <w:jc w:val="center"/>
          <w:rPr>
            <w:rFonts w:ascii="Arial" w:hAnsi="Arial" w:cs="Arial"/>
            <w:sz w:val="20"/>
            <w:szCs w:val="20"/>
          </w:rPr>
        </w:pPr>
        <w:r>
          <w:rPr/>
          <w:fldChar w:fldCharType="begin"/>
        </w:r>
        <w:r>
          <w:rPr/>
          <w:instrText> PAGE </w:instrText>
        </w:r>
        <w:r>
          <w:rPr/>
          <w:fldChar w:fldCharType="separate"/>
        </w:r>
        <w:r>
          <w:rPr/>
          <w:t>4</w:t>
        </w:r>
        <w:r>
          <w:rPr/>
          <w:fldChar w:fldCharType="end"/>
        </w:r>
      </w:p>
    </w:sdtContent>
  </w:sdt>
  <w:p>
    <w:pPr>
      <w:pStyle w:val="Normal"/>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Normal"/>
      <w:widowControl w:val="fals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Normal"/>
      <w:widowControl w:val="fals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169d"/>
    <w:pPr>
      <w:widowControl w:val="false"/>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7b120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7b120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7b120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3"/>
    <w:uiPriority w:val="99"/>
    <w:qFormat/>
    <w:rsid w:val="001e1dc6"/>
    <w:rPr/>
  </w:style>
  <w:style w:type="character" w:styleId="Style12" w:customStyle="1">
    <w:name w:val="Нижний колонтитул Знак"/>
    <w:basedOn w:val="DefaultParagraphFont"/>
    <w:link w:val="a5"/>
    <w:uiPriority w:val="99"/>
    <w:qFormat/>
    <w:rsid w:val="001e1dc6"/>
    <w:rPr/>
  </w:style>
  <w:style w:type="character" w:styleId="Style13" w:customStyle="1">
    <w:name w:val="Текст выноски Знак"/>
    <w:basedOn w:val="DefaultParagraphFont"/>
    <w:link w:val="aa"/>
    <w:uiPriority w:val="99"/>
    <w:semiHidden/>
    <w:qFormat/>
    <w:rsid w:val="009118ea"/>
    <w:rPr>
      <w:rFonts w:ascii="Tahoma" w:hAnsi="Tahoma" w:cs="Tahoma"/>
      <w:sz w:val="16"/>
      <w:szCs w:val="16"/>
    </w:rPr>
  </w:style>
  <w:style w:type="character" w:styleId="11" w:customStyle="1">
    <w:name w:val="Заголовок 1 Знак"/>
    <w:basedOn w:val="DefaultParagraphFont"/>
    <w:link w:val="1"/>
    <w:uiPriority w:val="9"/>
    <w:qFormat/>
    <w:rsid w:val="007b1205"/>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7b1205"/>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7b1205"/>
    <w:rPr>
      <w:rFonts w:ascii="Cambria" w:hAnsi="Cambria" w:eastAsia="" w:cs="" w:asciiTheme="majorHAnsi" w:cstheme="majorBidi" w:eastAsiaTheme="majorEastAsia" w:hAnsiTheme="majorHAnsi"/>
      <w:b/>
      <w:bCs/>
      <w:color w:val="4F81BD" w:themeColor="accent1"/>
    </w:rPr>
  </w:style>
  <w:style w:type="character" w:styleId="Style14">
    <w:name w:val="Гіперпосилання"/>
    <w:basedOn w:val="DefaultParagraphFont"/>
    <w:uiPriority w:val="99"/>
    <w:unhideWhenUsed/>
    <w:rsid w:val="007b1205"/>
    <w:rPr>
      <w:color w:val="0000FF" w:themeColor="hyperlink"/>
      <w:u w:val="single"/>
    </w:rPr>
  </w:style>
  <w:style w:type="character" w:styleId="Paragrapha" w:customStyle="1">
    <w:name w:val="Paragraph (a) Знак Знак"/>
    <w:basedOn w:val="DefaultParagraphFont"/>
    <w:link w:val="Paragrapha"/>
    <w:qFormat/>
    <w:rsid w:val="00f6100f"/>
    <w:rPr>
      <w:rFonts w:ascii="Times New Roman" w:hAnsi="Times New Roman" w:eastAsia="Times New Roman" w:cs="Times New Roman"/>
      <w:sz w:val="24"/>
      <w:szCs w:val="24"/>
      <w:lang w:val="en-GB" w:eastAsia="en-GB"/>
    </w:rPr>
  </w:style>
  <w:style w:type="character" w:styleId="Style15" w:customStyle="1">
    <w:name w:val="Название объекта Знак"/>
    <w:basedOn w:val="DefaultParagraphFont"/>
    <w:link w:val="af"/>
    <w:uiPriority w:val="35"/>
    <w:qFormat/>
    <w:locked/>
    <w:rsid w:val="00bf1001"/>
    <w:rPr>
      <w:rFonts w:ascii="Arial" w:hAnsi="Arial" w:eastAsia="Garamond" w:cs="Times New Roman"/>
      <w:sz w:val="24"/>
      <w:szCs w:val="24"/>
      <w:lang w:val="en-GB" w:eastAsia="sv-SE"/>
    </w:rPr>
  </w:style>
  <w:style w:type="character" w:styleId="Style16" w:customStyle="1">
    <w:name w:val="Основной текст Знак"/>
    <w:basedOn w:val="DefaultParagraphFont"/>
    <w:link w:val="af1"/>
    <w:qFormat/>
    <w:rsid w:val="00d16ca8"/>
    <w:rPr>
      <w:rFonts w:ascii="Arial" w:hAnsi="Arial" w:eastAsia="Times New Roman" w:cs="Arial"/>
      <w:lang w:val="uk-UA" w:eastAsia="ru-RU"/>
    </w:rPr>
  </w:style>
  <w:style w:type="character" w:styleId="Style17">
    <w:name w:val="Посилання покажчика"/>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f2"/>
    <w:rsid w:val="00d16ca8"/>
    <w:pPr>
      <w:widowControl/>
      <w:spacing w:lineRule="auto" w:line="240" w:before="60" w:after="120"/>
      <w:ind w:firstLine="851"/>
      <w:jc w:val="both"/>
    </w:pPr>
    <w:rPr>
      <w:rFonts w:ascii="Arial" w:hAnsi="Arial" w:eastAsia="Times New Roman" w:cs="Arial"/>
      <w:lang w:val="uk-UA" w:eastAsia="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Верхній і нижній колонтитули"/>
    <w:basedOn w:val="Normal"/>
    <w:qFormat/>
    <w:pPr/>
    <w:rPr/>
  </w:style>
  <w:style w:type="paragraph" w:styleId="Style24">
    <w:name w:val="Header"/>
    <w:basedOn w:val="Normal"/>
    <w:link w:val="a4"/>
    <w:uiPriority w:val="99"/>
    <w:unhideWhenUsed/>
    <w:rsid w:val="001e1dc6"/>
    <w:pPr>
      <w:tabs>
        <w:tab w:val="clear" w:pos="720"/>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1e1dc6"/>
    <w:pPr>
      <w:tabs>
        <w:tab w:val="clear" w:pos="720"/>
        <w:tab w:val="center" w:pos="4677" w:leader="none"/>
        <w:tab w:val="right" w:pos="9355" w:leader="none"/>
      </w:tabs>
      <w:spacing w:lineRule="auto" w:line="240" w:before="0" w:after="0"/>
    </w:pPr>
    <w:rPr/>
  </w:style>
  <w:style w:type="paragraph" w:styleId="ListParagraph">
    <w:name w:val="List Paragraph"/>
    <w:basedOn w:val="Normal"/>
    <w:uiPriority w:val="34"/>
    <w:qFormat/>
    <w:rsid w:val="00ea0564"/>
    <w:pPr>
      <w:spacing w:before="0" w:after="200"/>
      <w:ind w:left="720" w:hanging="0"/>
      <w:contextualSpacing/>
    </w:pPr>
    <w:rPr/>
  </w:style>
  <w:style w:type="paragraph" w:styleId="NormalWeb">
    <w:name w:val="Normal (Web)"/>
    <w:basedOn w:val="Normal"/>
    <w:unhideWhenUsed/>
    <w:qFormat/>
    <w:rsid w:val="004b7482"/>
    <w:pPr>
      <w:widowControl/>
      <w:spacing w:lineRule="auto" w:line="240" w:beforeAutospacing="1" w:afterAutospacing="1"/>
    </w:pPr>
    <w:rPr>
      <w:rFonts w:ascii="Times New Roman" w:hAnsi="Times New Roman" w:eastAsia="Times New Roman" w:cs="Times New Roman"/>
      <w:sz w:val="24"/>
      <w:szCs w:val="24"/>
      <w:lang w:val="ru-RU" w:eastAsia="ru-RU"/>
    </w:rPr>
  </w:style>
  <w:style w:type="paragraph" w:styleId="22" w:customStyle="1">
    <w:name w:val="Обычный2"/>
    <w:qFormat/>
    <w:rsid w:val="004b748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BalloonText">
    <w:name w:val="Balloon Text"/>
    <w:basedOn w:val="Normal"/>
    <w:link w:val="ab"/>
    <w:uiPriority w:val="99"/>
    <w:semiHidden/>
    <w:unhideWhenUsed/>
    <w:qFormat/>
    <w:rsid w:val="009118ea"/>
    <w:pPr>
      <w:spacing w:lineRule="auto" w:line="240" w:before="0" w:after="0"/>
    </w:pPr>
    <w:rPr>
      <w:rFonts w:ascii="Tahoma" w:hAnsi="Tahoma" w:cs="Tahoma"/>
      <w:sz w:val="16"/>
      <w:szCs w:val="16"/>
    </w:rPr>
  </w:style>
  <w:style w:type="paragraph" w:styleId="Style26" w:customStyle="1">
    <w:name w:val="Раздел"/>
    <w:basedOn w:val="Normal"/>
    <w:next w:val="Normal"/>
    <w:qFormat/>
    <w:rsid w:val="007b1205"/>
    <w:pPr>
      <w:spacing w:lineRule="auto" w:line="240" w:before="0" w:after="0"/>
      <w:jc w:val="both"/>
    </w:pPr>
    <w:rPr>
      <w:rFonts w:ascii="Garamond" w:hAnsi="Garamond"/>
      <w:b/>
      <w:caps/>
      <w:sz w:val="24"/>
      <w:szCs w:val="24"/>
      <w:lang w:val="uk-UA"/>
    </w:rPr>
  </w:style>
  <w:style w:type="paragraph" w:styleId="Style27" w:customStyle="1">
    <w:name w:val="Пункт"/>
    <w:basedOn w:val="Normal"/>
    <w:next w:val="Normal"/>
    <w:qFormat/>
    <w:rsid w:val="007b1205"/>
    <w:pPr>
      <w:tabs>
        <w:tab w:val="clear" w:pos="720"/>
        <w:tab w:val="left" w:pos="567" w:leader="none"/>
      </w:tabs>
      <w:spacing w:lineRule="auto" w:line="240" w:before="0" w:after="0"/>
      <w:jc w:val="both"/>
    </w:pPr>
    <w:rPr>
      <w:rFonts w:ascii="Garamond" w:hAnsi="Garamond"/>
      <w:b/>
      <w:sz w:val="24"/>
    </w:rPr>
  </w:style>
  <w:style w:type="paragraph" w:styleId="12">
    <w:name w:val="TOC 1"/>
    <w:basedOn w:val="Normal"/>
    <w:next w:val="Normal"/>
    <w:autoRedefine/>
    <w:uiPriority w:val="39"/>
    <w:unhideWhenUsed/>
    <w:rsid w:val="00c04dd2"/>
    <w:pPr>
      <w:tabs>
        <w:tab w:val="clear" w:pos="720"/>
        <w:tab w:val="right" w:pos="9345" w:leader="hyphen"/>
      </w:tabs>
      <w:spacing w:before="0" w:after="100"/>
    </w:pPr>
    <w:rPr>
      <w:rFonts w:ascii="Arial" w:hAnsi="Arial" w:cs="Arial"/>
    </w:rPr>
  </w:style>
  <w:style w:type="paragraph" w:styleId="23">
    <w:name w:val="TOC 2"/>
    <w:basedOn w:val="Normal"/>
    <w:next w:val="Normal"/>
    <w:autoRedefine/>
    <w:uiPriority w:val="39"/>
    <w:unhideWhenUsed/>
    <w:rsid w:val="00da1b8d"/>
    <w:pPr>
      <w:tabs>
        <w:tab w:val="clear" w:pos="720"/>
        <w:tab w:val="right" w:pos="9345" w:leader="hyphen"/>
      </w:tabs>
      <w:spacing w:before="0" w:after="100"/>
      <w:ind w:left="220" w:hanging="0"/>
    </w:pPr>
    <w:rPr>
      <w:rFonts w:ascii="Arial" w:hAnsi="Arial" w:cs="Arial"/>
      <w:lang w:val="uk-UA"/>
    </w:rPr>
  </w:style>
  <w:style w:type="paragraph" w:styleId="13" w:customStyle="1">
    <w:name w:val="Обычный1"/>
    <w:qFormat/>
    <w:rsid w:val="002579d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Paragrapha1" w:customStyle="1">
    <w:name w:val="Paragraph (a) Знак"/>
    <w:basedOn w:val="Normal"/>
    <w:link w:val="Paragrapha0"/>
    <w:qFormat/>
    <w:rsid w:val="00f6100f"/>
    <w:pPr>
      <w:widowControl/>
      <w:tabs>
        <w:tab w:val="clear" w:pos="72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s>
      <w:spacing w:lineRule="auto" w:line="240" w:before="240" w:after="0"/>
      <w:jc w:val="both"/>
    </w:pPr>
    <w:rPr>
      <w:rFonts w:ascii="Times New Roman" w:hAnsi="Times New Roman" w:eastAsia="Times New Roman" w:cs="Times New Roman"/>
      <w:sz w:val="24"/>
      <w:szCs w:val="24"/>
      <w:lang w:val="en-GB" w:eastAsia="en-GB"/>
    </w:rPr>
  </w:style>
  <w:style w:type="paragraph" w:styleId="Caption">
    <w:name w:val="caption"/>
    <w:basedOn w:val="Normal"/>
    <w:next w:val="Normal"/>
    <w:link w:val="af0"/>
    <w:autoRedefine/>
    <w:uiPriority w:val="35"/>
    <w:qFormat/>
    <w:rsid w:val="00bf1001"/>
    <w:pPr>
      <w:spacing w:lineRule="auto" w:line="240" w:before="0" w:after="0"/>
      <w:jc w:val="both"/>
    </w:pPr>
    <w:rPr>
      <w:rFonts w:ascii="Arial" w:hAnsi="Arial" w:eastAsia="Garamond" w:cs="Times New Roman"/>
      <w:sz w:val="24"/>
      <w:szCs w:val="24"/>
      <w:lang w:val="en-GB" w:eastAsia="sv-SE"/>
    </w:rPr>
  </w:style>
  <w:style w:type="paragraph" w:styleId="32" w:customStyle="1">
    <w:name w:val="Обычный3"/>
    <w:qFormat/>
    <w:rsid w:val="00db177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Default" w:customStyle="1">
    <w:name w:val="Default"/>
    <w:qFormat/>
    <w:rsid w:val="005f2c64"/>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4" w:customStyle="1">
    <w:name w:val="Обычный4"/>
    <w:qFormat/>
    <w:rsid w:val="00ca3f95"/>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ef17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AC61-BE49-43FA-B7B7-23AEDB39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Application>LibreOffice/6.4.4.2$Windows_x86 LibreOffice_project/3d775be2011f3886db32dfd395a6a6d1ca2630ff</Application>
  <Pages>4</Pages>
  <Words>1213</Words>
  <Characters>7871</Characters>
  <CharactersWithSpaces>8863</CharactersWithSpaces>
  <Paragraphs>222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2020-04-28T14:10:00Z</dcterms:created>
  <dc:creator>Gryaznykh</dc:creator>
  <dc:description/>
  <dc:language>uk-UA</dc:language>
  <cp:lastModifiedBy/>
  <cp:lastPrinted>2020-06-01T09:19:00Z</cp:lastPrinted>
  <dcterms:modified xsi:type="dcterms:W3CDTF">2020-10-20T09:54:21Z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Created">
    <vt:filetime>2013-08-30T00:00:00Z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2014-05-13T00:00:00Z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