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8C" w:rsidRDefault="005E278C" w:rsidP="005E278C">
      <w:pPr>
        <w:tabs>
          <w:tab w:val="left" w:pos="5690"/>
        </w:tabs>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Додаток до рішення </w:t>
      </w:r>
    </w:p>
    <w:p w:rsidR="005E278C" w:rsidRDefault="005E278C" w:rsidP="005E278C">
      <w:pPr>
        <w:tabs>
          <w:tab w:val="left" w:pos="5690"/>
        </w:tabs>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виконавчого комітету</w:t>
      </w:r>
    </w:p>
    <w:p w:rsidR="005E278C" w:rsidRDefault="005E278C" w:rsidP="005E278C">
      <w:pPr>
        <w:tabs>
          <w:tab w:val="left" w:pos="3670"/>
          <w:tab w:val="center" w:pos="4677"/>
        </w:tabs>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від 18.12.2019р. №1191</w:t>
      </w:r>
    </w:p>
    <w:p w:rsidR="005E278C" w:rsidRDefault="005E278C" w:rsidP="005E278C">
      <w:pPr>
        <w:spacing w:after="0" w:line="240" w:lineRule="auto"/>
        <w:jc w:val="right"/>
        <w:rPr>
          <w:rFonts w:ascii="Times New Roman" w:hAnsi="Times New Roman"/>
          <w:b/>
          <w:sz w:val="24"/>
          <w:szCs w:val="24"/>
          <w:lang w:val="uk-UA"/>
        </w:rPr>
      </w:pPr>
    </w:p>
    <w:p w:rsidR="005E278C" w:rsidRDefault="005E278C" w:rsidP="005E278C">
      <w:pPr>
        <w:spacing w:after="0" w:line="240" w:lineRule="auto"/>
        <w:jc w:val="right"/>
        <w:rPr>
          <w:rFonts w:ascii="Times New Roman" w:hAnsi="Times New Roman"/>
          <w:b/>
          <w:sz w:val="24"/>
          <w:szCs w:val="24"/>
          <w:lang w:val="uk-UA"/>
        </w:rPr>
      </w:pPr>
    </w:p>
    <w:p w:rsidR="005E278C" w:rsidRDefault="005E278C" w:rsidP="005E278C">
      <w:pPr>
        <w:tabs>
          <w:tab w:val="left" w:pos="337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Звіт</w:t>
      </w:r>
    </w:p>
    <w:p w:rsidR="005E278C" w:rsidRDefault="005E278C" w:rsidP="005E278C">
      <w:pPr>
        <w:tabs>
          <w:tab w:val="left" w:pos="337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про роботу управління державної реєстрації Тернопільської міської ради за 2019 рік</w:t>
      </w:r>
    </w:p>
    <w:p w:rsidR="005E278C" w:rsidRDefault="005E278C" w:rsidP="005E278C">
      <w:pPr>
        <w:tabs>
          <w:tab w:val="left" w:pos="3375"/>
        </w:tabs>
        <w:spacing w:after="0" w:line="240" w:lineRule="auto"/>
        <w:jc w:val="center"/>
        <w:rPr>
          <w:rFonts w:ascii="Times New Roman" w:hAnsi="Times New Roman"/>
          <w:sz w:val="24"/>
          <w:szCs w:val="24"/>
          <w:lang w:val="uk-UA"/>
        </w:rPr>
      </w:pPr>
    </w:p>
    <w:p w:rsidR="005E278C" w:rsidRDefault="005E278C" w:rsidP="005E278C">
      <w:pPr>
        <w:tabs>
          <w:tab w:val="left" w:pos="3375"/>
        </w:tabs>
        <w:spacing w:after="0" w:line="240" w:lineRule="auto"/>
        <w:jc w:val="center"/>
        <w:rPr>
          <w:rFonts w:ascii="Times New Roman" w:hAnsi="Times New Roman"/>
          <w:sz w:val="24"/>
          <w:szCs w:val="24"/>
          <w:lang w:val="uk-UA"/>
        </w:rPr>
      </w:pPr>
    </w:p>
    <w:p w:rsidR="005E278C" w:rsidRDefault="005E278C" w:rsidP="005E278C">
      <w:pPr>
        <w:ind w:firstLine="708"/>
        <w:jc w:val="both"/>
        <w:rPr>
          <w:rFonts w:ascii="Times New Roman" w:hAnsi="Times New Roman"/>
          <w:sz w:val="24"/>
          <w:szCs w:val="24"/>
          <w:lang w:val="uk-UA"/>
        </w:rPr>
      </w:pPr>
      <w:r>
        <w:rPr>
          <w:rFonts w:ascii="Times New Roman" w:hAnsi="Times New Roman"/>
          <w:sz w:val="24"/>
          <w:szCs w:val="24"/>
          <w:lang w:val="uk-UA"/>
        </w:rPr>
        <w:t xml:space="preserve">Управління державної реєстрації ( надалі – Управління) є виконавчим органом Тернопільської міської ради, що утворюється нею відповідно до Конституції України та Закону України «Про місцеве самоврядування в Україні», Закону України «Про реєстрацію речових прав на нерухоме майно та їх обтяжень», Закону України «Про державну реєстрацію юридичних осіб та фізичних осіб – підприємців» для здійснення виконавчих функцій і повноважень місцевого самоврядування у межах, визначених Законами України. Управління є самостійним виконавчим органом Тернопільської міської ради, підзвітне та підконтрольне Тернопільській міській раді, підпорядковане її виконавчому комітету та міському голові. </w:t>
      </w:r>
    </w:p>
    <w:p w:rsidR="005E278C" w:rsidRDefault="005E278C" w:rsidP="005E278C">
      <w:pPr>
        <w:pStyle w:val="a3"/>
        <w:spacing w:line="276" w:lineRule="auto"/>
        <w:ind w:left="0" w:right="-79" w:firstLine="851"/>
        <w:jc w:val="both"/>
        <w:rPr>
          <w:rFonts w:eastAsia="Calibri"/>
          <w:lang w:val="uk-UA" w:eastAsia="ru-RU"/>
        </w:rPr>
      </w:pPr>
      <w:r>
        <w:rPr>
          <w:rFonts w:eastAsia="Calibri"/>
          <w:lang w:val="uk-UA" w:eastAsia="ru-RU"/>
        </w:rPr>
        <w:t>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ДСТУ ISO 9001, Настановою з якості та Положенням про управління державної реєстрації, затвердженого рішенням виконавчого комітету Тернопільської міської ради від 03.03.2016 р. №7/6/70</w:t>
      </w:r>
    </w:p>
    <w:p w:rsidR="005E278C" w:rsidRDefault="005E278C" w:rsidP="005E278C">
      <w:pPr>
        <w:jc w:val="center"/>
        <w:rPr>
          <w:rFonts w:ascii="Times New Roman" w:eastAsia="Calibri" w:hAnsi="Times New Roman"/>
          <w:color w:val="2E74B5"/>
          <w:sz w:val="18"/>
          <w:szCs w:val="18"/>
          <w:lang w:val="uk-UA" w:eastAsia="en-US"/>
        </w:rPr>
      </w:pPr>
    </w:p>
    <w:p w:rsidR="005E278C" w:rsidRDefault="005E278C" w:rsidP="005E278C">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Зквітня 2019 року </w:t>
      </w:r>
      <w:r>
        <w:rPr>
          <w:rFonts w:ascii="Times New Roman" w:hAnsi="Times New Roman"/>
          <w:sz w:val="24"/>
          <w:szCs w:val="24"/>
          <w:lang w:val="uk-UA"/>
        </w:rPr>
        <w:t>управління</w:t>
      </w:r>
      <w:r>
        <w:rPr>
          <w:rFonts w:ascii="Times New Roman" w:hAnsi="Times New Roman"/>
          <w:sz w:val="24"/>
          <w:szCs w:val="24"/>
        </w:rPr>
        <w:t xml:space="preserve"> переведено у новеприміщення за адресою бульвар Тараса Шевченка, 3. </w:t>
      </w:r>
    </w:p>
    <w:p w:rsidR="005E278C" w:rsidRDefault="005E278C" w:rsidP="005E278C">
      <w:pPr>
        <w:spacing w:after="0" w:line="360" w:lineRule="auto"/>
        <w:ind w:firstLine="709"/>
        <w:jc w:val="both"/>
        <w:rPr>
          <w:rFonts w:ascii="Times New Roman" w:hAnsi="Times New Roman"/>
          <w:sz w:val="24"/>
          <w:szCs w:val="24"/>
        </w:rPr>
      </w:pPr>
      <w:r>
        <w:rPr>
          <w:rFonts w:ascii="Times New Roman" w:hAnsi="Times New Roman"/>
          <w:sz w:val="24"/>
          <w:szCs w:val="24"/>
        </w:rPr>
        <w:t>Новеприміщеннязнаходиться на першомуповерсі в історичнійчастиніміста Тернополя в якомупередбаченопротипожежну систему, вбиральнідлявідвідувачів, встановленотадіютьелектроннічерги та платіжнітермінали. Звідвідувачамипостійнопрацюютьвідповідальніпосадові особи,якінадаютьпервиннуінформаціющодоспособівотриманнявідповіднихадміністративнихпослуг.</w:t>
      </w:r>
    </w:p>
    <w:p w:rsidR="005E278C" w:rsidRDefault="005E278C" w:rsidP="005E278C">
      <w:pPr>
        <w:spacing w:after="0" w:line="360" w:lineRule="auto"/>
        <w:ind w:firstLine="709"/>
        <w:jc w:val="both"/>
        <w:rPr>
          <w:rFonts w:ascii="Times New Roman" w:hAnsi="Times New Roman"/>
          <w:sz w:val="24"/>
          <w:szCs w:val="24"/>
        </w:rPr>
      </w:pPr>
      <w:r>
        <w:rPr>
          <w:rFonts w:ascii="Times New Roman" w:hAnsi="Times New Roman"/>
          <w:sz w:val="24"/>
          <w:szCs w:val="24"/>
        </w:rPr>
        <w:t xml:space="preserve">Створеннясучасного простору дляякісногоотриманнягромадянамипослугоптимізувало роботу </w:t>
      </w:r>
      <w:r>
        <w:rPr>
          <w:rFonts w:ascii="Times New Roman" w:hAnsi="Times New Roman"/>
          <w:sz w:val="24"/>
          <w:szCs w:val="24"/>
          <w:lang w:val="uk-UA"/>
        </w:rPr>
        <w:t>управління</w:t>
      </w:r>
      <w:r>
        <w:rPr>
          <w:rFonts w:ascii="Times New Roman" w:hAnsi="Times New Roman"/>
          <w:sz w:val="24"/>
          <w:szCs w:val="24"/>
        </w:rPr>
        <w:t xml:space="preserve"> та дозволило суттєвозменшитичерги. </w:t>
      </w:r>
    </w:p>
    <w:p w:rsidR="005E278C" w:rsidRDefault="005E278C" w:rsidP="005E278C">
      <w:pPr>
        <w:spacing w:after="0" w:line="360" w:lineRule="auto"/>
        <w:ind w:firstLine="709"/>
        <w:jc w:val="both"/>
        <w:rPr>
          <w:rFonts w:ascii="Times New Roman" w:hAnsi="Times New Roman"/>
          <w:sz w:val="24"/>
          <w:szCs w:val="24"/>
        </w:rPr>
      </w:pPr>
      <w:r>
        <w:rPr>
          <w:rFonts w:ascii="Times New Roman" w:hAnsi="Times New Roman"/>
          <w:sz w:val="24"/>
          <w:szCs w:val="24"/>
        </w:rPr>
        <w:t>В подальшому на 2020 рікзавдякиздійсненнюзакупівлі нового программногозабезпечення для веденяреєструтериторіальноїгромадиплануєтьсянадати доступ у режимі переглядуінформації дляструктурнихпідрозділівТернопільськоїміської ради, що дозволить зменшитикількістьпаперовихдовідок.</w:t>
      </w:r>
    </w:p>
    <w:p w:rsidR="005E278C" w:rsidRDefault="005E278C" w:rsidP="005E278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Також 30 вересня 2019р. у відділіреєстраціїпроживання особи уповноваженимипредставникамиСекретаріатуУповноваженогоВерховної ради України з прав людини проведено плановувиїзнуперевіркущодододержаннязаконодавства у сферізахиступерсональнихданих. Згідновисновку за результатами перевіркивстановленодотриманнязаконодавства п</w:t>
      </w:r>
      <w:r>
        <w:rPr>
          <w:rFonts w:ascii="Times New Roman" w:hAnsi="Times New Roman"/>
        </w:rPr>
        <w:t>р</w:t>
      </w:r>
      <w:r>
        <w:rPr>
          <w:rFonts w:ascii="Times New Roman" w:hAnsi="Times New Roman"/>
          <w:sz w:val="24"/>
          <w:szCs w:val="24"/>
        </w:rPr>
        <w:t xml:space="preserve">о захистперсональнихданих. </w:t>
      </w:r>
    </w:p>
    <w:p w:rsidR="005E278C" w:rsidRDefault="005E278C" w:rsidP="005E278C">
      <w:pPr>
        <w:spacing w:after="0"/>
        <w:ind w:firstLine="709"/>
        <w:jc w:val="both"/>
        <w:rPr>
          <w:rFonts w:ascii="Times New Roman" w:hAnsi="Times New Roman"/>
          <w:sz w:val="24"/>
          <w:szCs w:val="24"/>
        </w:rPr>
      </w:pPr>
    </w:p>
    <w:p w:rsidR="005E278C" w:rsidRDefault="005E278C" w:rsidP="005E278C">
      <w:pPr>
        <w:spacing w:after="0"/>
        <w:ind w:firstLine="709"/>
        <w:jc w:val="both"/>
        <w:rPr>
          <w:rFonts w:ascii="Times New Roman" w:hAnsi="Times New Roman"/>
          <w:sz w:val="24"/>
          <w:szCs w:val="24"/>
          <w:lang w:val="uk-UA"/>
        </w:rPr>
      </w:pPr>
      <w:r>
        <w:rPr>
          <w:rFonts w:ascii="Times New Roman" w:hAnsi="Times New Roman"/>
          <w:b/>
          <w:sz w:val="24"/>
          <w:szCs w:val="24"/>
          <w:lang w:val="uk-UA"/>
        </w:rPr>
        <w:t>Відділом державної реєстрації речових прав на нерухоме майно та їх обтяжень</w:t>
      </w:r>
      <w:r>
        <w:rPr>
          <w:rFonts w:ascii="Times New Roman" w:hAnsi="Times New Roman"/>
          <w:sz w:val="24"/>
          <w:szCs w:val="24"/>
          <w:lang w:val="uk-UA"/>
        </w:rPr>
        <w:t xml:space="preserve"> за період з 01.01.2019 р. по 01.11.2019 р. було прийнято 4738 заяв. У порівнянні з відповідним періодом за 2018 р. кількість прийнятих заяв зменшилась на 633 заяви, а саме:</w:t>
      </w:r>
    </w:p>
    <w:p w:rsidR="005E278C" w:rsidRDefault="005E278C" w:rsidP="005E278C">
      <w:pPr>
        <w:spacing w:after="0"/>
        <w:ind w:firstLine="709"/>
        <w:jc w:val="both"/>
        <w:rPr>
          <w:rFonts w:ascii="Times New Roman" w:hAnsi="Times New Roman"/>
          <w:sz w:val="24"/>
          <w:szCs w:val="24"/>
          <w:lang w:val="uk-UA"/>
        </w:rPr>
      </w:pPr>
    </w:p>
    <w:p w:rsidR="005E278C" w:rsidRDefault="005E278C" w:rsidP="005E278C">
      <w:pPr>
        <w:pStyle w:val="a3"/>
        <w:numPr>
          <w:ilvl w:val="0"/>
          <w:numId w:val="1"/>
        </w:numPr>
        <w:suppressAutoHyphens w:val="0"/>
        <w:spacing w:line="276" w:lineRule="auto"/>
        <w:jc w:val="both"/>
        <w:rPr>
          <w:lang w:val="uk-UA"/>
        </w:rPr>
      </w:pPr>
      <w:r>
        <w:rPr>
          <w:lang w:val="uk-UA"/>
        </w:rPr>
        <w:t>за звітний період з 01.01.2019 р. по 01.11.2019 р. прийнято 3876 заяв про реєстрацію права власності на нерухоме майно. У порівнянні з відповідним періодом за 2018 р. кількість прийнятих заяв зменшилась на 564;</w:t>
      </w:r>
    </w:p>
    <w:p w:rsidR="005E278C" w:rsidRDefault="005E278C" w:rsidP="005E278C">
      <w:pPr>
        <w:pStyle w:val="a3"/>
        <w:numPr>
          <w:ilvl w:val="0"/>
          <w:numId w:val="1"/>
        </w:numPr>
        <w:suppressAutoHyphens w:val="0"/>
        <w:spacing w:line="276" w:lineRule="auto"/>
        <w:jc w:val="both"/>
        <w:rPr>
          <w:lang w:val="uk-UA"/>
        </w:rPr>
      </w:pPr>
    </w:p>
    <w:p w:rsidR="005E278C" w:rsidRDefault="005E278C" w:rsidP="005E278C">
      <w:pPr>
        <w:pStyle w:val="a3"/>
        <w:numPr>
          <w:ilvl w:val="0"/>
          <w:numId w:val="1"/>
        </w:numPr>
        <w:suppressAutoHyphens w:val="0"/>
        <w:spacing w:line="276" w:lineRule="auto"/>
        <w:jc w:val="both"/>
        <w:rPr>
          <w:lang w:val="uk-UA"/>
        </w:rPr>
      </w:pPr>
      <w:r>
        <w:rPr>
          <w:lang w:val="uk-UA"/>
        </w:rPr>
        <w:t>за звітний період з 01.01.2019 р. по 01.11.2019 р. прийнято 413 заяви про реєстрацію іншого речового права. У порівнянні з відповідним періодом за 2018 р. кількість прийнятих заяв зросла на 197;</w:t>
      </w:r>
    </w:p>
    <w:p w:rsidR="005E278C" w:rsidRDefault="005E278C" w:rsidP="005E278C">
      <w:pPr>
        <w:pStyle w:val="a3"/>
        <w:numPr>
          <w:ilvl w:val="0"/>
          <w:numId w:val="1"/>
        </w:numPr>
        <w:suppressAutoHyphens w:val="0"/>
        <w:spacing w:line="276" w:lineRule="auto"/>
        <w:jc w:val="both"/>
        <w:rPr>
          <w:lang w:val="uk-UA"/>
        </w:rPr>
      </w:pPr>
    </w:p>
    <w:p w:rsidR="005E278C" w:rsidRDefault="005E278C" w:rsidP="005E278C">
      <w:pPr>
        <w:pStyle w:val="a3"/>
        <w:numPr>
          <w:ilvl w:val="0"/>
          <w:numId w:val="1"/>
        </w:numPr>
        <w:suppressAutoHyphens w:val="0"/>
        <w:spacing w:line="276" w:lineRule="auto"/>
        <w:jc w:val="both"/>
        <w:rPr>
          <w:lang w:val="uk-UA"/>
        </w:rPr>
      </w:pPr>
      <w:r>
        <w:rPr>
          <w:lang w:val="uk-UA"/>
        </w:rPr>
        <w:t>за звітний період з 01.01.2019 р. по 01.11.2019 р. прийнято 235 заяв про внесення змін до Державного реєстру речових прав. У порівнянні з відповідним періодом за 2018 р. кількість прийнятих заяв зменшилась на 254;</w:t>
      </w:r>
    </w:p>
    <w:p w:rsidR="005E278C" w:rsidRDefault="005E278C" w:rsidP="005E278C">
      <w:pPr>
        <w:pStyle w:val="a3"/>
        <w:numPr>
          <w:ilvl w:val="0"/>
          <w:numId w:val="1"/>
        </w:numPr>
        <w:suppressAutoHyphens w:val="0"/>
        <w:spacing w:line="276" w:lineRule="auto"/>
        <w:jc w:val="both"/>
        <w:rPr>
          <w:lang w:val="uk-UA"/>
        </w:rPr>
      </w:pPr>
    </w:p>
    <w:p w:rsidR="005E278C" w:rsidRDefault="005E278C" w:rsidP="005E278C">
      <w:pPr>
        <w:pStyle w:val="a3"/>
        <w:numPr>
          <w:ilvl w:val="0"/>
          <w:numId w:val="1"/>
        </w:numPr>
        <w:suppressAutoHyphens w:val="0"/>
        <w:spacing w:line="276" w:lineRule="auto"/>
        <w:jc w:val="both"/>
        <w:rPr>
          <w:lang w:val="uk-UA"/>
        </w:rPr>
      </w:pPr>
      <w:r>
        <w:rPr>
          <w:lang w:val="uk-UA"/>
        </w:rPr>
        <w:t>за звітний період з 01.01.2019 р. по 01.11.2019 р. прийнято 39 заява про скасування права власності на нерухоме майно. У порівнянні з відповідним періодом за 2018 р. кількість прийнятих заяв зросла на 18;</w:t>
      </w:r>
    </w:p>
    <w:p w:rsidR="005E278C" w:rsidRDefault="005E278C" w:rsidP="005E278C">
      <w:pPr>
        <w:pStyle w:val="a3"/>
        <w:numPr>
          <w:ilvl w:val="0"/>
          <w:numId w:val="1"/>
        </w:numPr>
        <w:suppressAutoHyphens w:val="0"/>
        <w:spacing w:line="276" w:lineRule="auto"/>
        <w:jc w:val="both"/>
        <w:rPr>
          <w:lang w:val="uk-UA"/>
        </w:rPr>
      </w:pPr>
    </w:p>
    <w:p w:rsidR="005E278C" w:rsidRDefault="005E278C" w:rsidP="005E278C">
      <w:pPr>
        <w:pStyle w:val="a3"/>
        <w:numPr>
          <w:ilvl w:val="0"/>
          <w:numId w:val="1"/>
        </w:numPr>
        <w:suppressAutoHyphens w:val="0"/>
        <w:spacing w:line="276" w:lineRule="auto"/>
        <w:jc w:val="both"/>
        <w:rPr>
          <w:lang w:val="uk-UA"/>
        </w:rPr>
      </w:pPr>
      <w:r>
        <w:rPr>
          <w:lang w:val="uk-UA"/>
        </w:rPr>
        <w:t>за звітний період з 01.01.2019 р. по 01.11.2019 р. прийнято 175 заяв про реєстрацію обтяження. У порівнянні з відповідним періодом за 2018 р. кількість прийнятих заяв зменшилась на 30.</w:t>
      </w:r>
    </w:p>
    <w:p w:rsidR="005E278C" w:rsidRDefault="005E278C" w:rsidP="005E278C">
      <w:pPr>
        <w:pStyle w:val="a3"/>
        <w:suppressAutoHyphens w:val="0"/>
        <w:spacing w:line="276" w:lineRule="auto"/>
        <w:jc w:val="both"/>
        <w:rPr>
          <w:lang w:val="uk-UA"/>
        </w:rPr>
      </w:pPr>
    </w:p>
    <w:p w:rsidR="005E278C" w:rsidRDefault="005E278C" w:rsidP="005E278C">
      <w:pPr>
        <w:spacing w:after="0"/>
        <w:ind w:firstLine="709"/>
        <w:jc w:val="both"/>
        <w:rPr>
          <w:rFonts w:ascii="Times New Roman" w:hAnsi="Times New Roman"/>
          <w:sz w:val="24"/>
          <w:szCs w:val="24"/>
          <w:lang w:val="uk-UA"/>
        </w:rPr>
      </w:pPr>
      <w:r>
        <w:rPr>
          <w:rFonts w:ascii="Times New Roman" w:hAnsi="Times New Roman"/>
          <w:sz w:val="24"/>
          <w:szCs w:val="24"/>
          <w:lang w:val="uk-UA"/>
        </w:rPr>
        <w:t>За надання адміністративних послуг у сфері державної реєстрації речових прав на нерухоме майно та їх обтяжень до місцевого бюджету за період з 01.01.2019 р. по 01.11.2019 р. орієнтовно надійшло 720602грн., що у порівнянні з відповідним періодом за 2018 рік на 340398 грн. менше.</w:t>
      </w:r>
    </w:p>
    <w:p w:rsidR="005E278C" w:rsidRDefault="005E278C" w:rsidP="005E278C">
      <w:pPr>
        <w:spacing w:after="0"/>
        <w:ind w:firstLine="709"/>
        <w:jc w:val="both"/>
        <w:rPr>
          <w:rFonts w:ascii="Times New Roman" w:hAnsi="Times New Roman"/>
          <w:sz w:val="18"/>
          <w:szCs w:val="18"/>
          <w:lang w:val="uk-UA"/>
        </w:rPr>
      </w:pPr>
    </w:p>
    <w:p w:rsidR="005E278C" w:rsidRDefault="005E278C" w:rsidP="005E278C">
      <w:pPr>
        <w:rPr>
          <w:rFonts w:ascii="Times New Roman" w:hAnsi="Times New Roman"/>
          <w:sz w:val="18"/>
          <w:szCs w:val="1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24"/>
        <w:gridCol w:w="625"/>
        <w:gridCol w:w="1539"/>
        <w:gridCol w:w="1483"/>
        <w:gridCol w:w="1575"/>
        <w:gridCol w:w="1180"/>
        <w:gridCol w:w="1982"/>
        <w:gridCol w:w="206"/>
        <w:gridCol w:w="1290"/>
      </w:tblGrid>
      <w:tr w:rsidR="005E278C" w:rsidTr="005E278C">
        <w:trPr>
          <w:trHeight w:val="561"/>
          <w:jc w:val="center"/>
        </w:trPr>
        <w:tc>
          <w:tcPr>
            <w:tcW w:w="4624" w:type="dxa"/>
            <w:tcBorders>
              <w:top w:val="single" w:sz="4" w:space="0" w:color="auto"/>
              <w:left w:val="single" w:sz="4" w:space="0" w:color="auto"/>
              <w:bottom w:val="single" w:sz="4" w:space="0" w:color="auto"/>
              <w:right w:val="single" w:sz="4" w:space="0" w:color="auto"/>
            </w:tcBorders>
            <w:hideMark/>
          </w:tcPr>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Державна реєстрація речових прав на нерухоме майно та їх обтяжень</w:t>
            </w:r>
          </w:p>
        </w:tc>
        <w:tc>
          <w:tcPr>
            <w:tcW w:w="2164"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За 2018 рік</w:t>
            </w:r>
          </w:p>
        </w:tc>
        <w:tc>
          <w:tcPr>
            <w:tcW w:w="3058"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За 10 місяців 2018 року</w:t>
            </w:r>
          </w:p>
        </w:tc>
        <w:tc>
          <w:tcPr>
            <w:tcW w:w="3162"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За 10 місяців 2019 року</w:t>
            </w:r>
          </w:p>
        </w:tc>
        <w:tc>
          <w:tcPr>
            <w:tcW w:w="1496"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lang w:val="uk-UA"/>
              </w:rPr>
            </w:pPr>
          </w:p>
          <w:p w:rsidR="005E278C" w:rsidRDefault="005E278C">
            <w:pPr>
              <w:spacing w:after="0" w:line="240" w:lineRule="auto"/>
              <w:rPr>
                <w:rFonts w:ascii="Times New Roman" w:eastAsia="Calibri" w:hAnsi="Times New Roman" w:cs="Times New Roman"/>
                <w:sz w:val="24"/>
                <w:szCs w:val="24"/>
                <w:lang w:val="uk-UA" w:eastAsia="en-US"/>
              </w:rPr>
            </w:pPr>
            <w:r>
              <w:rPr>
                <w:rFonts w:ascii="Times New Roman" w:hAnsi="Times New Roman"/>
                <w:sz w:val="24"/>
                <w:szCs w:val="24"/>
                <w:lang w:val="uk-UA"/>
              </w:rPr>
              <w:t xml:space="preserve">Відсоткове порівняння </w:t>
            </w:r>
          </w:p>
        </w:tc>
      </w:tr>
      <w:tr w:rsidR="005E278C" w:rsidTr="005E278C">
        <w:trPr>
          <w:trHeight w:val="651"/>
          <w:jc w:val="center"/>
        </w:trPr>
        <w:tc>
          <w:tcPr>
            <w:tcW w:w="4624"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Кількість зареєстрованих заяв</w:t>
            </w:r>
          </w:p>
        </w:tc>
        <w:tc>
          <w:tcPr>
            <w:tcW w:w="2164"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6450</w:t>
            </w:r>
          </w:p>
        </w:tc>
        <w:tc>
          <w:tcPr>
            <w:tcW w:w="3058"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5371</w:t>
            </w:r>
          </w:p>
        </w:tc>
        <w:tc>
          <w:tcPr>
            <w:tcW w:w="3162"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en-US" w:eastAsia="en-US"/>
              </w:rPr>
            </w:pPr>
            <w:r>
              <w:rPr>
                <w:rFonts w:ascii="Times New Roman" w:hAnsi="Times New Roman"/>
                <w:sz w:val="24"/>
                <w:szCs w:val="24"/>
                <w:lang w:val="en-US"/>
              </w:rPr>
              <w:t>4738</w:t>
            </w:r>
          </w:p>
        </w:tc>
        <w:tc>
          <w:tcPr>
            <w:tcW w:w="1496"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rPr>
            </w:pPr>
          </w:p>
          <w:p w:rsidR="005E278C" w:rsidRDefault="005E278C">
            <w:pPr>
              <w:spacing w:after="0" w:line="240" w:lineRule="auto"/>
              <w:rPr>
                <w:rFonts w:ascii="Times New Roman" w:hAnsi="Times New Roman"/>
                <w:sz w:val="24"/>
                <w:szCs w:val="24"/>
              </w:rPr>
            </w:pPr>
            <w:r>
              <w:rPr>
                <w:rFonts w:ascii="Times New Roman" w:hAnsi="Times New Roman"/>
                <w:sz w:val="24"/>
                <w:szCs w:val="24"/>
                <w:lang w:val="uk-UA"/>
              </w:rPr>
              <w:t xml:space="preserve">88% </w:t>
            </w:r>
          </w:p>
          <w:p w:rsidR="005E278C" w:rsidRDefault="005E278C">
            <w:pPr>
              <w:spacing w:after="0" w:line="240" w:lineRule="auto"/>
              <w:rPr>
                <w:rFonts w:ascii="Times New Roman" w:eastAsia="Calibri" w:hAnsi="Times New Roman" w:cs="Times New Roman"/>
                <w:sz w:val="24"/>
                <w:szCs w:val="24"/>
                <w:lang w:eastAsia="en-US"/>
              </w:rPr>
            </w:pPr>
          </w:p>
        </w:tc>
      </w:tr>
      <w:tr w:rsidR="005E278C" w:rsidTr="005E278C">
        <w:trPr>
          <w:trHeight w:val="651"/>
          <w:jc w:val="center"/>
        </w:trPr>
        <w:tc>
          <w:tcPr>
            <w:tcW w:w="4624" w:type="dxa"/>
            <w:tcBorders>
              <w:top w:val="single" w:sz="4" w:space="0" w:color="auto"/>
              <w:left w:val="single" w:sz="4" w:space="0" w:color="auto"/>
              <w:bottom w:val="single" w:sz="4" w:space="0" w:color="auto"/>
              <w:right w:val="single" w:sz="4" w:space="0" w:color="auto"/>
            </w:tcBorders>
            <w:hideMark/>
          </w:tcPr>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noProof/>
                <w:sz w:val="24"/>
                <w:szCs w:val="24"/>
                <w:lang w:val="uk-UA"/>
              </w:rPr>
              <w:lastRenderedPageBreak/>
              <w:t>Кількість відмов за результатом розгляду зареєстрованих заяв</w:t>
            </w:r>
          </w:p>
        </w:tc>
        <w:tc>
          <w:tcPr>
            <w:tcW w:w="2164"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en-US" w:eastAsia="en-US"/>
              </w:rPr>
            </w:pPr>
            <w:r>
              <w:rPr>
                <w:rFonts w:ascii="Times New Roman" w:hAnsi="Times New Roman"/>
                <w:sz w:val="24"/>
                <w:szCs w:val="24"/>
                <w:lang w:val="en-US"/>
              </w:rPr>
              <w:t>144</w:t>
            </w:r>
          </w:p>
        </w:tc>
        <w:tc>
          <w:tcPr>
            <w:tcW w:w="3058"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en-US" w:eastAsia="en-US"/>
              </w:rPr>
            </w:pPr>
            <w:r>
              <w:rPr>
                <w:rFonts w:ascii="Times New Roman" w:hAnsi="Times New Roman"/>
                <w:sz w:val="24"/>
                <w:szCs w:val="24"/>
                <w:lang w:val="en-US"/>
              </w:rPr>
              <w:t>117</w:t>
            </w:r>
          </w:p>
        </w:tc>
        <w:tc>
          <w:tcPr>
            <w:tcW w:w="3162"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en-US" w:eastAsia="en-US"/>
              </w:rPr>
            </w:pPr>
            <w:r>
              <w:rPr>
                <w:rFonts w:ascii="Times New Roman" w:hAnsi="Times New Roman"/>
                <w:sz w:val="24"/>
                <w:szCs w:val="24"/>
                <w:lang w:val="en-US"/>
              </w:rPr>
              <w:t>127</w:t>
            </w:r>
          </w:p>
        </w:tc>
        <w:tc>
          <w:tcPr>
            <w:tcW w:w="1496"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lang w:val="uk-UA"/>
              </w:rPr>
            </w:pPr>
          </w:p>
          <w:p w:rsidR="005E278C" w:rsidRDefault="005E278C">
            <w:pPr>
              <w:spacing w:after="0" w:line="240" w:lineRule="auto"/>
              <w:rPr>
                <w:rFonts w:ascii="Times New Roman" w:hAnsi="Times New Roman"/>
                <w:sz w:val="24"/>
                <w:szCs w:val="24"/>
              </w:rPr>
            </w:pPr>
            <w:r>
              <w:rPr>
                <w:rFonts w:ascii="Times New Roman" w:hAnsi="Times New Roman"/>
                <w:sz w:val="24"/>
                <w:szCs w:val="24"/>
                <w:lang w:val="uk-UA"/>
              </w:rPr>
              <w:t>108 %</w:t>
            </w:r>
          </w:p>
          <w:p w:rsidR="005E278C" w:rsidRDefault="005E278C">
            <w:pPr>
              <w:spacing w:after="0" w:line="240" w:lineRule="auto"/>
              <w:rPr>
                <w:rFonts w:ascii="Times New Roman" w:eastAsia="Calibri" w:hAnsi="Times New Roman" w:cs="Times New Roman"/>
                <w:sz w:val="24"/>
                <w:szCs w:val="24"/>
                <w:lang w:eastAsia="en-US"/>
              </w:rPr>
            </w:pPr>
          </w:p>
        </w:tc>
      </w:tr>
      <w:tr w:rsidR="005E278C" w:rsidTr="005E278C">
        <w:trPr>
          <w:trHeight w:val="557"/>
          <w:jc w:val="center"/>
        </w:trPr>
        <w:tc>
          <w:tcPr>
            <w:tcW w:w="14504" w:type="dxa"/>
            <w:gridSpan w:val="9"/>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rPr>
            </w:pPr>
            <w:r>
              <w:rPr>
                <w:noProof/>
              </w:rPr>
              <w:drawing>
                <wp:inline distT="0" distB="0" distL="0" distR="0">
                  <wp:extent cx="9086850" cy="4171950"/>
                  <wp:effectExtent l="1905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5"/>
                          <a:srcRect r="-15" b="-58"/>
                          <a:stretch>
                            <a:fillRect/>
                          </a:stretch>
                        </pic:blipFill>
                        <pic:spPr bwMode="auto">
                          <a:xfrm>
                            <a:off x="0" y="0"/>
                            <a:ext cx="9086850" cy="4171950"/>
                          </a:xfrm>
                          <a:prstGeom prst="rect">
                            <a:avLst/>
                          </a:prstGeom>
                          <a:noFill/>
                          <a:ln w="9525">
                            <a:noFill/>
                            <a:miter lim="800000"/>
                            <a:headEnd/>
                            <a:tailEnd/>
                          </a:ln>
                        </pic:spPr>
                      </pic:pic>
                    </a:graphicData>
                  </a:graphic>
                </wp:inline>
              </w:drawing>
            </w:r>
          </w:p>
          <w:p w:rsidR="005E278C" w:rsidRDefault="005E278C">
            <w:pPr>
              <w:spacing w:after="0" w:line="240" w:lineRule="auto"/>
              <w:rPr>
                <w:rFonts w:ascii="Times New Roman" w:hAnsi="Times New Roman"/>
                <w:sz w:val="24"/>
                <w:szCs w:val="24"/>
              </w:rPr>
            </w:pPr>
          </w:p>
          <w:p w:rsidR="005E278C" w:rsidRDefault="005E278C">
            <w:pPr>
              <w:spacing w:after="0" w:line="240" w:lineRule="auto"/>
              <w:rPr>
                <w:rFonts w:ascii="Times New Roman" w:eastAsia="Calibri" w:hAnsi="Times New Roman" w:cs="Times New Roman"/>
                <w:sz w:val="24"/>
                <w:szCs w:val="24"/>
                <w:lang w:eastAsia="en-US"/>
              </w:rPr>
            </w:pPr>
          </w:p>
        </w:tc>
      </w:tr>
      <w:tr w:rsidR="005E278C" w:rsidTr="005E278C">
        <w:trPr>
          <w:trHeight w:val="1031"/>
          <w:jc w:val="center"/>
        </w:trPr>
        <w:tc>
          <w:tcPr>
            <w:tcW w:w="5249" w:type="dxa"/>
            <w:gridSpan w:val="2"/>
            <w:vMerge w:val="restart"/>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hAnsi="Times New Roman"/>
                <w:sz w:val="24"/>
                <w:szCs w:val="24"/>
                <w:lang w:val="uk-UA"/>
              </w:rPr>
            </w:pPr>
          </w:p>
          <w:p w:rsidR="005E278C" w:rsidRDefault="005E278C">
            <w:pPr>
              <w:spacing w:after="0" w:line="240" w:lineRule="auto"/>
              <w:jc w:val="center"/>
              <w:rPr>
                <w:rFonts w:ascii="Times New Roman" w:hAnsi="Times New Roman"/>
                <w:sz w:val="24"/>
                <w:szCs w:val="24"/>
                <w:lang w:val="uk-UA"/>
              </w:rPr>
            </w:pPr>
          </w:p>
          <w:p w:rsidR="005E278C" w:rsidRDefault="005E278C">
            <w:pPr>
              <w:spacing w:after="0" w:line="240" w:lineRule="auto"/>
              <w:jc w:val="center"/>
              <w:rPr>
                <w:rFonts w:ascii="Times New Roman" w:hAnsi="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Сума отриманого адміністративного збору у сфері державної реєстрації</w:t>
            </w:r>
          </w:p>
        </w:tc>
        <w:tc>
          <w:tcPr>
            <w:tcW w:w="3022"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lang w:val="uk-UA"/>
              </w:rPr>
            </w:pPr>
          </w:p>
          <w:p w:rsidR="005E278C" w:rsidRDefault="005E278C">
            <w:pPr>
              <w:spacing w:after="0" w:line="240" w:lineRule="auto"/>
              <w:jc w:val="center"/>
              <w:rPr>
                <w:rFonts w:ascii="Times New Roman" w:hAnsi="Times New Roman"/>
                <w:lang w:val="uk-UA"/>
              </w:rPr>
            </w:pPr>
          </w:p>
          <w:p w:rsidR="005E278C" w:rsidRDefault="005E278C">
            <w:pPr>
              <w:spacing w:after="0" w:line="240" w:lineRule="auto"/>
              <w:jc w:val="center"/>
              <w:rPr>
                <w:rFonts w:ascii="Times New Roman" w:eastAsia="Calibri" w:hAnsi="Times New Roman" w:cs="Times New Roman"/>
                <w:lang w:val="uk-UA" w:eastAsia="en-US"/>
              </w:rPr>
            </w:pPr>
            <w:r>
              <w:rPr>
                <w:rFonts w:ascii="Times New Roman" w:hAnsi="Times New Roman"/>
                <w:lang w:val="uk-UA"/>
              </w:rPr>
              <w:t>За 2018 рік</w:t>
            </w:r>
          </w:p>
        </w:tc>
        <w:tc>
          <w:tcPr>
            <w:tcW w:w="2755"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lang w:val="uk-UA"/>
              </w:rPr>
            </w:pPr>
          </w:p>
          <w:p w:rsidR="005E278C" w:rsidRDefault="005E278C">
            <w:pPr>
              <w:spacing w:after="0" w:line="240" w:lineRule="auto"/>
              <w:jc w:val="center"/>
              <w:rPr>
                <w:rFonts w:ascii="Times New Roman" w:hAnsi="Times New Roman"/>
                <w:lang w:val="uk-UA"/>
              </w:rPr>
            </w:pPr>
          </w:p>
          <w:p w:rsidR="005E278C" w:rsidRDefault="005E278C">
            <w:pPr>
              <w:spacing w:after="0" w:line="240" w:lineRule="auto"/>
              <w:jc w:val="center"/>
              <w:rPr>
                <w:rFonts w:ascii="Times New Roman" w:hAnsi="Times New Roman"/>
                <w:lang w:val="uk-UA"/>
              </w:rPr>
            </w:pPr>
            <w:r>
              <w:rPr>
                <w:rFonts w:ascii="Times New Roman" w:hAnsi="Times New Roman"/>
                <w:lang w:val="uk-UA"/>
              </w:rPr>
              <w:t>За 10 місяців 2018</w:t>
            </w:r>
          </w:p>
          <w:p w:rsidR="005E278C" w:rsidRDefault="005E278C">
            <w:pPr>
              <w:spacing w:after="0" w:line="240" w:lineRule="auto"/>
              <w:jc w:val="center"/>
              <w:rPr>
                <w:rFonts w:ascii="Times New Roman" w:eastAsia="Calibri" w:hAnsi="Times New Roman" w:cs="Times New Roman"/>
                <w:lang w:eastAsia="en-US"/>
              </w:rPr>
            </w:pPr>
            <w:r>
              <w:rPr>
                <w:rFonts w:ascii="Times New Roman" w:hAnsi="Times New Roman"/>
                <w:lang w:val="uk-UA"/>
              </w:rPr>
              <w:t>року</w:t>
            </w:r>
          </w:p>
        </w:tc>
        <w:tc>
          <w:tcPr>
            <w:tcW w:w="2188"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lang w:val="uk-UA"/>
              </w:rPr>
            </w:pPr>
          </w:p>
          <w:p w:rsidR="005E278C" w:rsidRDefault="005E278C">
            <w:pPr>
              <w:spacing w:after="0" w:line="240" w:lineRule="auto"/>
              <w:jc w:val="center"/>
              <w:rPr>
                <w:rFonts w:ascii="Times New Roman" w:hAnsi="Times New Roman"/>
                <w:lang w:val="uk-UA"/>
              </w:rPr>
            </w:pPr>
          </w:p>
          <w:p w:rsidR="005E278C" w:rsidRDefault="005E278C">
            <w:pPr>
              <w:spacing w:after="0" w:line="240" w:lineRule="auto"/>
              <w:jc w:val="center"/>
              <w:rPr>
                <w:rFonts w:ascii="Times New Roman" w:eastAsia="Calibri" w:hAnsi="Times New Roman" w:cs="Times New Roman"/>
                <w:lang w:eastAsia="en-US"/>
              </w:rPr>
            </w:pPr>
            <w:r>
              <w:rPr>
                <w:rFonts w:ascii="Times New Roman" w:hAnsi="Times New Roman"/>
                <w:lang w:val="uk-UA"/>
              </w:rPr>
              <w:t>За 10 місяців 2019 року</w:t>
            </w:r>
          </w:p>
        </w:tc>
        <w:tc>
          <w:tcPr>
            <w:tcW w:w="1290"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lang w:val="uk-UA"/>
              </w:rPr>
            </w:pPr>
          </w:p>
          <w:p w:rsidR="005E278C" w:rsidRDefault="005E278C">
            <w:pPr>
              <w:spacing w:after="0" w:line="240" w:lineRule="auto"/>
              <w:rPr>
                <w:rFonts w:ascii="Times New Roman" w:hAnsi="Times New Roman"/>
                <w:sz w:val="24"/>
                <w:szCs w:val="24"/>
                <w:lang w:val="uk-UA"/>
              </w:rPr>
            </w:pPr>
          </w:p>
          <w:p w:rsidR="005E278C" w:rsidRDefault="005E278C">
            <w:pPr>
              <w:spacing w:after="0" w:line="240" w:lineRule="auto"/>
              <w:rPr>
                <w:rFonts w:ascii="Times New Roman" w:eastAsia="Calibri" w:hAnsi="Times New Roman" w:cs="Times New Roman"/>
                <w:lang w:eastAsia="en-US"/>
              </w:rPr>
            </w:pPr>
            <w:r>
              <w:rPr>
                <w:rFonts w:ascii="Times New Roman" w:hAnsi="Times New Roman"/>
                <w:lang w:val="uk-UA"/>
              </w:rPr>
              <w:t>Відсоткове порівняння</w:t>
            </w:r>
          </w:p>
        </w:tc>
      </w:tr>
      <w:tr w:rsidR="005E278C" w:rsidTr="005E278C">
        <w:trPr>
          <w:trHeight w:val="90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E278C" w:rsidRDefault="005E278C">
            <w:pPr>
              <w:spacing w:after="0" w:line="240" w:lineRule="auto"/>
              <w:rPr>
                <w:rFonts w:ascii="Times New Roman" w:eastAsia="Calibri" w:hAnsi="Times New Roman" w:cs="Times New Roman"/>
                <w:sz w:val="24"/>
                <w:szCs w:val="24"/>
                <w:lang w:val="uk-UA"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1195980грн.</w:t>
            </w:r>
          </w:p>
        </w:tc>
        <w:tc>
          <w:tcPr>
            <w:tcW w:w="2755"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1 061000 грн.</w:t>
            </w:r>
          </w:p>
        </w:tc>
        <w:tc>
          <w:tcPr>
            <w:tcW w:w="2188" w:type="dxa"/>
            <w:gridSpan w:val="2"/>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720602</w:t>
            </w:r>
          </w:p>
        </w:tc>
        <w:tc>
          <w:tcPr>
            <w:tcW w:w="1290"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lang w:val="uk-UA"/>
              </w:rPr>
            </w:pPr>
          </w:p>
          <w:p w:rsidR="005E278C" w:rsidRDefault="005E278C">
            <w:pPr>
              <w:spacing w:after="0" w:line="240" w:lineRule="auto"/>
              <w:rPr>
                <w:rFonts w:ascii="Times New Roman" w:eastAsia="Calibri" w:hAnsi="Times New Roman" w:cs="Times New Roman"/>
                <w:sz w:val="24"/>
                <w:szCs w:val="24"/>
                <w:lang w:val="uk-UA" w:eastAsia="en-US"/>
              </w:rPr>
            </w:pPr>
            <w:r>
              <w:rPr>
                <w:rFonts w:ascii="Times New Roman" w:hAnsi="Times New Roman"/>
                <w:sz w:val="24"/>
                <w:szCs w:val="24"/>
                <w:lang w:val="uk-UA"/>
              </w:rPr>
              <w:t xml:space="preserve">68 % </w:t>
            </w:r>
          </w:p>
        </w:tc>
      </w:tr>
      <w:tr w:rsidR="005E278C" w:rsidTr="005E278C">
        <w:trPr>
          <w:trHeight w:val="4093"/>
          <w:jc w:val="center"/>
        </w:trPr>
        <w:tc>
          <w:tcPr>
            <w:tcW w:w="14504" w:type="dxa"/>
            <w:gridSpan w:val="9"/>
            <w:tcBorders>
              <w:top w:val="single" w:sz="4" w:space="0" w:color="auto"/>
              <w:left w:val="single" w:sz="4" w:space="0" w:color="auto"/>
              <w:bottom w:val="single" w:sz="4" w:space="0" w:color="auto"/>
              <w:right w:val="single" w:sz="4" w:space="0" w:color="auto"/>
            </w:tcBorders>
            <w:hideMark/>
          </w:tcPr>
          <w:p w:rsidR="005E278C" w:rsidRDefault="005E278C">
            <w:pPr>
              <w:spacing w:after="0" w:line="240" w:lineRule="auto"/>
              <w:rPr>
                <w:rFonts w:ascii="Times New Roman" w:eastAsia="Calibri" w:hAnsi="Times New Roman" w:cs="Times New Roman"/>
                <w:sz w:val="24"/>
                <w:szCs w:val="24"/>
                <w:lang w:eastAsia="en-US"/>
              </w:rPr>
            </w:pPr>
            <w:r>
              <w:rPr>
                <w:noProof/>
              </w:rPr>
              <w:drawing>
                <wp:inline distT="0" distB="0" distL="0" distR="0">
                  <wp:extent cx="5178939" cy="2740545"/>
                  <wp:effectExtent l="6093" t="6090" r="6093" b="609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5E278C" w:rsidRDefault="005E278C" w:rsidP="005E278C">
      <w:pPr>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4"/>
        <w:gridCol w:w="2361"/>
        <w:gridCol w:w="2425"/>
        <w:gridCol w:w="2361"/>
      </w:tblGrid>
      <w:tr w:rsidR="005E278C" w:rsidTr="005E278C">
        <w:trPr>
          <w:trHeight w:val="350"/>
        </w:trPr>
        <w:tc>
          <w:tcPr>
            <w:tcW w:w="10835" w:type="dxa"/>
            <w:gridSpan w:val="4"/>
            <w:tcBorders>
              <w:top w:val="single" w:sz="4" w:space="0" w:color="auto"/>
              <w:left w:val="single" w:sz="4" w:space="0" w:color="auto"/>
              <w:bottom w:val="single" w:sz="4" w:space="0" w:color="auto"/>
              <w:right w:val="single" w:sz="4" w:space="0" w:color="auto"/>
            </w:tcBorders>
            <w:hideMark/>
          </w:tcPr>
          <w:p w:rsidR="005E278C" w:rsidRDefault="005E278C">
            <w:pPr>
              <w:spacing w:after="0"/>
              <w:jc w:val="center"/>
              <w:rPr>
                <w:rFonts w:ascii="Times New Roman" w:eastAsia="Calibri" w:hAnsi="Times New Roman" w:cs="Times New Roman"/>
                <w:b/>
                <w:lang w:val="uk-UA" w:eastAsia="en-US"/>
              </w:rPr>
            </w:pPr>
            <w:r>
              <w:rPr>
                <w:rFonts w:ascii="Times New Roman" w:hAnsi="Times New Roman"/>
                <w:b/>
                <w:lang w:val="uk-UA"/>
              </w:rPr>
              <w:t>Надходження (вибуття) реєстраційних справ від нотаріусів та інших суб</w:t>
            </w:r>
            <w:r>
              <w:rPr>
                <w:rFonts w:ascii="Times New Roman" w:hAnsi="Times New Roman"/>
                <w:b/>
              </w:rPr>
              <w:t>’</w:t>
            </w:r>
            <w:r>
              <w:rPr>
                <w:rFonts w:ascii="Times New Roman" w:hAnsi="Times New Roman"/>
                <w:b/>
                <w:lang w:val="uk-UA"/>
              </w:rPr>
              <w:t>єктів державної реєстрації</w:t>
            </w:r>
          </w:p>
        </w:tc>
      </w:tr>
      <w:tr w:rsidR="005E278C" w:rsidTr="005E278C">
        <w:trPr>
          <w:trHeight w:val="350"/>
        </w:trPr>
        <w:tc>
          <w:tcPr>
            <w:tcW w:w="5417" w:type="dxa"/>
            <w:gridSpan w:val="2"/>
            <w:tcBorders>
              <w:top w:val="single" w:sz="4" w:space="0" w:color="auto"/>
              <w:left w:val="single" w:sz="4" w:space="0" w:color="auto"/>
              <w:bottom w:val="single" w:sz="4" w:space="0" w:color="auto"/>
              <w:right w:val="single" w:sz="4" w:space="0" w:color="auto"/>
            </w:tcBorders>
            <w:hideMark/>
          </w:tcPr>
          <w:p w:rsidR="005E278C" w:rsidRDefault="005E278C">
            <w:pPr>
              <w:spacing w:after="0"/>
              <w:jc w:val="center"/>
              <w:rPr>
                <w:rFonts w:ascii="Times New Roman" w:eastAsia="Calibri" w:hAnsi="Times New Roman" w:cs="Times New Roman"/>
                <w:b/>
                <w:sz w:val="24"/>
                <w:szCs w:val="24"/>
                <w:lang w:val="uk-UA" w:eastAsia="en-US"/>
              </w:rPr>
            </w:pPr>
            <w:r>
              <w:rPr>
                <w:rFonts w:ascii="Times New Roman" w:hAnsi="Times New Roman"/>
                <w:b/>
                <w:sz w:val="24"/>
                <w:szCs w:val="24"/>
                <w:lang w:val="uk-UA"/>
              </w:rPr>
              <w:t>2018р.</w:t>
            </w:r>
          </w:p>
        </w:tc>
        <w:tc>
          <w:tcPr>
            <w:tcW w:w="5418" w:type="dxa"/>
            <w:gridSpan w:val="2"/>
            <w:tcBorders>
              <w:top w:val="single" w:sz="4" w:space="0" w:color="auto"/>
              <w:left w:val="single" w:sz="4" w:space="0" w:color="auto"/>
              <w:bottom w:val="single" w:sz="4" w:space="0" w:color="auto"/>
              <w:right w:val="single" w:sz="4" w:space="0" w:color="auto"/>
            </w:tcBorders>
            <w:hideMark/>
          </w:tcPr>
          <w:p w:rsidR="005E278C" w:rsidRDefault="005E278C">
            <w:pPr>
              <w:spacing w:after="0"/>
              <w:jc w:val="center"/>
              <w:rPr>
                <w:rFonts w:ascii="Times New Roman" w:eastAsia="Calibri" w:hAnsi="Times New Roman" w:cs="Times New Roman"/>
                <w:b/>
                <w:sz w:val="24"/>
                <w:szCs w:val="24"/>
                <w:lang w:val="uk-UA" w:eastAsia="en-US"/>
              </w:rPr>
            </w:pPr>
            <w:r>
              <w:rPr>
                <w:rFonts w:ascii="Times New Roman" w:hAnsi="Times New Roman"/>
                <w:b/>
                <w:sz w:val="24"/>
                <w:szCs w:val="24"/>
                <w:lang w:val="uk-UA"/>
              </w:rPr>
              <w:t>2019 р.</w:t>
            </w:r>
          </w:p>
        </w:tc>
      </w:tr>
      <w:tr w:rsidR="005E278C" w:rsidTr="005E278C">
        <w:trPr>
          <w:trHeight w:val="363"/>
        </w:trPr>
        <w:tc>
          <w:tcPr>
            <w:tcW w:w="2708" w:type="dxa"/>
            <w:tcBorders>
              <w:top w:val="single" w:sz="4" w:space="0" w:color="auto"/>
              <w:left w:val="single" w:sz="4" w:space="0" w:color="auto"/>
              <w:bottom w:val="single" w:sz="4" w:space="0" w:color="auto"/>
              <w:right w:val="single" w:sz="4" w:space="0" w:color="auto"/>
            </w:tcBorders>
            <w:hideMark/>
          </w:tcPr>
          <w:p w:rsidR="005E278C" w:rsidRDefault="005E278C">
            <w:pPr>
              <w:spacing w:after="0"/>
              <w:jc w:val="both"/>
              <w:rPr>
                <w:rFonts w:ascii="Times New Roman" w:eastAsia="Calibri" w:hAnsi="Times New Roman" w:cs="Times New Roman"/>
                <w:b/>
                <w:sz w:val="24"/>
                <w:szCs w:val="24"/>
                <w:lang w:val="uk-UA" w:eastAsia="en-US"/>
              </w:rPr>
            </w:pPr>
            <w:r>
              <w:rPr>
                <w:rFonts w:ascii="Times New Roman" w:hAnsi="Times New Roman"/>
                <w:b/>
                <w:sz w:val="24"/>
                <w:szCs w:val="24"/>
                <w:lang w:val="uk-UA"/>
              </w:rPr>
              <w:t>Прийнято</w:t>
            </w:r>
          </w:p>
        </w:tc>
        <w:tc>
          <w:tcPr>
            <w:tcW w:w="2709" w:type="dxa"/>
            <w:tcBorders>
              <w:top w:val="single" w:sz="4" w:space="0" w:color="auto"/>
              <w:left w:val="single" w:sz="4" w:space="0" w:color="auto"/>
              <w:bottom w:val="single" w:sz="4" w:space="0" w:color="auto"/>
              <w:right w:val="single" w:sz="4" w:space="0" w:color="auto"/>
            </w:tcBorders>
            <w:hideMark/>
          </w:tcPr>
          <w:p w:rsidR="005E278C" w:rsidRDefault="005E278C">
            <w:pPr>
              <w:spacing w:after="0"/>
              <w:jc w:val="both"/>
              <w:rPr>
                <w:rFonts w:ascii="Times New Roman" w:eastAsia="Calibri" w:hAnsi="Times New Roman" w:cs="Times New Roman"/>
                <w:b/>
                <w:sz w:val="24"/>
                <w:szCs w:val="24"/>
                <w:lang w:val="uk-UA" w:eastAsia="en-US"/>
              </w:rPr>
            </w:pPr>
            <w:r>
              <w:rPr>
                <w:rFonts w:ascii="Times New Roman" w:hAnsi="Times New Roman"/>
                <w:b/>
                <w:sz w:val="24"/>
                <w:szCs w:val="24"/>
                <w:lang w:val="uk-UA"/>
              </w:rPr>
              <w:t>Вибуло</w:t>
            </w:r>
          </w:p>
        </w:tc>
        <w:tc>
          <w:tcPr>
            <w:tcW w:w="2709" w:type="dxa"/>
            <w:tcBorders>
              <w:top w:val="single" w:sz="4" w:space="0" w:color="auto"/>
              <w:left w:val="single" w:sz="4" w:space="0" w:color="auto"/>
              <w:bottom w:val="single" w:sz="4" w:space="0" w:color="auto"/>
              <w:right w:val="single" w:sz="4" w:space="0" w:color="auto"/>
            </w:tcBorders>
            <w:hideMark/>
          </w:tcPr>
          <w:p w:rsidR="005E278C" w:rsidRDefault="005E278C">
            <w:pPr>
              <w:spacing w:after="0"/>
              <w:jc w:val="both"/>
              <w:rPr>
                <w:rFonts w:ascii="Times New Roman" w:eastAsia="Calibri" w:hAnsi="Times New Roman" w:cs="Times New Roman"/>
                <w:b/>
                <w:sz w:val="24"/>
                <w:szCs w:val="24"/>
                <w:lang w:val="uk-UA" w:eastAsia="en-US"/>
              </w:rPr>
            </w:pPr>
            <w:r>
              <w:rPr>
                <w:rFonts w:ascii="Times New Roman" w:hAnsi="Times New Roman"/>
                <w:b/>
                <w:sz w:val="24"/>
                <w:szCs w:val="24"/>
                <w:lang w:val="uk-UA"/>
              </w:rPr>
              <w:t>Прийнято</w:t>
            </w:r>
          </w:p>
        </w:tc>
        <w:tc>
          <w:tcPr>
            <w:tcW w:w="2709" w:type="dxa"/>
            <w:tcBorders>
              <w:top w:val="single" w:sz="4" w:space="0" w:color="auto"/>
              <w:left w:val="single" w:sz="4" w:space="0" w:color="auto"/>
              <w:bottom w:val="single" w:sz="4" w:space="0" w:color="auto"/>
              <w:right w:val="single" w:sz="4" w:space="0" w:color="auto"/>
            </w:tcBorders>
            <w:hideMark/>
          </w:tcPr>
          <w:p w:rsidR="005E278C" w:rsidRDefault="005E278C">
            <w:pPr>
              <w:spacing w:after="0"/>
              <w:jc w:val="both"/>
              <w:rPr>
                <w:rFonts w:ascii="Times New Roman" w:eastAsia="Calibri" w:hAnsi="Times New Roman" w:cs="Times New Roman"/>
                <w:b/>
                <w:sz w:val="24"/>
                <w:szCs w:val="24"/>
                <w:lang w:val="uk-UA" w:eastAsia="en-US"/>
              </w:rPr>
            </w:pPr>
            <w:r>
              <w:rPr>
                <w:rFonts w:ascii="Times New Roman" w:hAnsi="Times New Roman"/>
                <w:b/>
                <w:sz w:val="24"/>
                <w:szCs w:val="24"/>
                <w:lang w:val="uk-UA"/>
              </w:rPr>
              <w:t>Вибуло</w:t>
            </w:r>
          </w:p>
        </w:tc>
      </w:tr>
      <w:tr w:rsidR="005E278C" w:rsidTr="005E278C">
        <w:trPr>
          <w:trHeight w:val="363"/>
        </w:trPr>
        <w:tc>
          <w:tcPr>
            <w:tcW w:w="2708" w:type="dxa"/>
            <w:tcBorders>
              <w:top w:val="single" w:sz="4" w:space="0" w:color="auto"/>
              <w:left w:val="single" w:sz="4" w:space="0" w:color="auto"/>
              <w:bottom w:val="single" w:sz="4" w:space="0" w:color="auto"/>
              <w:right w:val="single" w:sz="4" w:space="0" w:color="auto"/>
            </w:tcBorders>
            <w:hideMark/>
          </w:tcPr>
          <w:p w:rsidR="005E278C" w:rsidRDefault="005E278C">
            <w:pPr>
              <w:spacing w:after="0"/>
              <w:jc w:val="both"/>
              <w:rPr>
                <w:rFonts w:ascii="Times New Roman" w:eastAsia="Calibri" w:hAnsi="Times New Roman" w:cs="Times New Roman"/>
                <w:b/>
                <w:sz w:val="24"/>
                <w:szCs w:val="24"/>
                <w:lang w:val="uk-UA" w:eastAsia="en-US"/>
              </w:rPr>
            </w:pPr>
            <w:r>
              <w:rPr>
                <w:rFonts w:ascii="Times New Roman" w:hAnsi="Times New Roman"/>
                <w:b/>
                <w:sz w:val="24"/>
                <w:szCs w:val="24"/>
                <w:lang w:val="uk-UA"/>
              </w:rPr>
              <w:t>8265</w:t>
            </w:r>
          </w:p>
        </w:tc>
        <w:tc>
          <w:tcPr>
            <w:tcW w:w="2709" w:type="dxa"/>
            <w:tcBorders>
              <w:top w:val="single" w:sz="4" w:space="0" w:color="auto"/>
              <w:left w:val="single" w:sz="4" w:space="0" w:color="auto"/>
              <w:bottom w:val="single" w:sz="4" w:space="0" w:color="auto"/>
              <w:right w:val="single" w:sz="4" w:space="0" w:color="auto"/>
            </w:tcBorders>
            <w:hideMark/>
          </w:tcPr>
          <w:p w:rsidR="005E278C" w:rsidRDefault="005E278C">
            <w:pPr>
              <w:spacing w:after="0"/>
              <w:jc w:val="both"/>
              <w:rPr>
                <w:rFonts w:ascii="Times New Roman" w:eastAsia="Calibri" w:hAnsi="Times New Roman" w:cs="Times New Roman"/>
                <w:b/>
                <w:sz w:val="24"/>
                <w:szCs w:val="24"/>
                <w:lang w:val="uk-UA" w:eastAsia="en-US"/>
              </w:rPr>
            </w:pPr>
            <w:r>
              <w:rPr>
                <w:rFonts w:ascii="Times New Roman" w:hAnsi="Times New Roman"/>
                <w:b/>
                <w:sz w:val="24"/>
                <w:szCs w:val="24"/>
                <w:lang w:val="uk-UA"/>
              </w:rPr>
              <w:t>1</w:t>
            </w:r>
          </w:p>
        </w:tc>
        <w:tc>
          <w:tcPr>
            <w:tcW w:w="2709" w:type="dxa"/>
            <w:tcBorders>
              <w:top w:val="single" w:sz="4" w:space="0" w:color="auto"/>
              <w:left w:val="single" w:sz="4" w:space="0" w:color="auto"/>
              <w:bottom w:val="single" w:sz="4" w:space="0" w:color="auto"/>
              <w:right w:val="single" w:sz="4" w:space="0" w:color="auto"/>
            </w:tcBorders>
            <w:hideMark/>
          </w:tcPr>
          <w:p w:rsidR="005E278C" w:rsidRDefault="005E278C">
            <w:pPr>
              <w:spacing w:after="0"/>
              <w:jc w:val="both"/>
              <w:rPr>
                <w:rFonts w:ascii="Times New Roman" w:eastAsia="Calibri" w:hAnsi="Times New Roman" w:cs="Times New Roman"/>
                <w:b/>
                <w:sz w:val="24"/>
                <w:szCs w:val="24"/>
                <w:lang w:val="uk-UA" w:eastAsia="en-US"/>
              </w:rPr>
            </w:pPr>
            <w:r>
              <w:rPr>
                <w:rFonts w:ascii="Times New Roman" w:hAnsi="Times New Roman"/>
                <w:b/>
                <w:sz w:val="24"/>
                <w:szCs w:val="24"/>
                <w:lang w:val="uk-UA"/>
              </w:rPr>
              <w:t>7126</w:t>
            </w:r>
          </w:p>
        </w:tc>
        <w:tc>
          <w:tcPr>
            <w:tcW w:w="2709" w:type="dxa"/>
            <w:tcBorders>
              <w:top w:val="single" w:sz="4" w:space="0" w:color="auto"/>
              <w:left w:val="single" w:sz="4" w:space="0" w:color="auto"/>
              <w:bottom w:val="single" w:sz="4" w:space="0" w:color="auto"/>
              <w:right w:val="single" w:sz="4" w:space="0" w:color="auto"/>
            </w:tcBorders>
            <w:hideMark/>
          </w:tcPr>
          <w:p w:rsidR="005E278C" w:rsidRDefault="005E278C">
            <w:pPr>
              <w:spacing w:after="0"/>
              <w:jc w:val="both"/>
              <w:rPr>
                <w:rFonts w:ascii="Times New Roman" w:eastAsia="Calibri" w:hAnsi="Times New Roman" w:cs="Times New Roman"/>
                <w:b/>
                <w:sz w:val="24"/>
                <w:szCs w:val="24"/>
                <w:lang w:val="uk-UA" w:eastAsia="en-US"/>
              </w:rPr>
            </w:pPr>
            <w:r>
              <w:rPr>
                <w:rFonts w:ascii="Times New Roman" w:hAnsi="Times New Roman"/>
                <w:b/>
                <w:sz w:val="24"/>
                <w:szCs w:val="24"/>
                <w:lang w:val="uk-UA"/>
              </w:rPr>
              <w:t>6</w:t>
            </w:r>
          </w:p>
        </w:tc>
      </w:tr>
    </w:tbl>
    <w:p w:rsidR="005E278C" w:rsidRDefault="005E278C" w:rsidP="005E278C">
      <w:pPr>
        <w:jc w:val="both"/>
        <w:rPr>
          <w:rFonts w:ascii="Times New Roman" w:eastAsia="Calibri" w:hAnsi="Times New Roman"/>
          <w:b/>
          <w:sz w:val="24"/>
          <w:szCs w:val="24"/>
          <w:lang w:val="uk-UA" w:eastAsia="en-US"/>
        </w:rPr>
      </w:pPr>
    </w:p>
    <w:p w:rsidR="005E278C" w:rsidRDefault="005E278C" w:rsidP="005E278C">
      <w:pPr>
        <w:spacing w:after="0" w:line="360" w:lineRule="auto"/>
        <w:ind w:firstLine="709"/>
        <w:jc w:val="both"/>
        <w:rPr>
          <w:rFonts w:ascii="Times New Roman" w:hAnsi="Times New Roman"/>
          <w:sz w:val="24"/>
          <w:szCs w:val="24"/>
          <w:lang w:val="uk-UA"/>
        </w:rPr>
      </w:pPr>
      <w:r>
        <w:rPr>
          <w:rFonts w:ascii="Times New Roman" w:hAnsi="Times New Roman"/>
          <w:b/>
          <w:sz w:val="24"/>
          <w:szCs w:val="24"/>
          <w:lang w:val="uk-UA"/>
        </w:rPr>
        <w:t>Відділ реєстрації проживання особи управління державної реєстрації Тернопільської міської ради</w:t>
      </w:r>
      <w:r>
        <w:rPr>
          <w:rFonts w:ascii="Times New Roman" w:hAnsi="Times New Roman"/>
          <w:sz w:val="24"/>
          <w:szCs w:val="24"/>
          <w:lang w:val="uk-UA"/>
        </w:rPr>
        <w:t xml:space="preserve"> здійснює функції по реєстрації/знятті з реєстрації місця проживання з 04 квітня 2016р., відповідно до Закону України «Про місцеве самоврядування в Україні» та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5E278C" w:rsidRDefault="005E278C" w:rsidP="005E278C">
      <w:pPr>
        <w:spacing w:after="0" w:line="360" w:lineRule="auto"/>
        <w:ind w:firstLine="709"/>
        <w:jc w:val="both"/>
        <w:rPr>
          <w:rFonts w:ascii="Times New Roman" w:hAnsi="Times New Roman"/>
          <w:sz w:val="24"/>
          <w:szCs w:val="24"/>
        </w:rPr>
      </w:pPr>
      <w:r>
        <w:rPr>
          <w:rFonts w:ascii="Times New Roman" w:hAnsi="Times New Roman"/>
          <w:sz w:val="24"/>
          <w:szCs w:val="24"/>
          <w:lang w:val="uk-UA"/>
        </w:rPr>
        <w:t xml:space="preserve">За звітнийперіод з 01.01.2019р. по 01.10.2019р. здійснено 9831 </w:t>
      </w:r>
      <w:r>
        <w:rPr>
          <w:rFonts w:ascii="Times New Roman" w:hAnsi="Times New Roman"/>
          <w:lang w:val="uk-UA"/>
        </w:rPr>
        <w:t xml:space="preserve">дія по </w:t>
      </w:r>
      <w:r>
        <w:rPr>
          <w:rFonts w:ascii="Times New Roman" w:hAnsi="Times New Roman"/>
          <w:sz w:val="24"/>
          <w:szCs w:val="24"/>
          <w:lang w:val="uk-UA"/>
        </w:rPr>
        <w:t xml:space="preserve">реєстраціїмісцяпроживання, а такожреєстраціїізодночаснимзняттям з попередньогомісцяпроживання та 6505 дій по зняттю з реєстраціїмісцяпроживання. </w:t>
      </w:r>
      <w:r>
        <w:rPr>
          <w:rFonts w:ascii="Times New Roman" w:hAnsi="Times New Roman"/>
          <w:sz w:val="24"/>
          <w:szCs w:val="24"/>
        </w:rPr>
        <w:t>У порівняннііззвітнимперіодом за 2018р. Спостерігаєтьсядинаміка до приведенняувідповідністьзареєстрованогомісця</w:t>
      </w:r>
      <w:r>
        <w:rPr>
          <w:rFonts w:ascii="Times New Roman" w:hAnsi="Times New Roman"/>
          <w:sz w:val="24"/>
          <w:szCs w:val="24"/>
          <w:lang w:val="uk-UA"/>
        </w:rPr>
        <w:t xml:space="preserve"> п</w:t>
      </w:r>
      <w:r>
        <w:rPr>
          <w:rFonts w:ascii="Times New Roman" w:hAnsi="Times New Roman"/>
          <w:sz w:val="24"/>
          <w:szCs w:val="24"/>
        </w:rPr>
        <w:t>роживанняізфактичнимпроживанням</w:t>
      </w:r>
      <w:r>
        <w:rPr>
          <w:rFonts w:ascii="Times New Roman" w:hAnsi="Times New Roman"/>
        </w:rPr>
        <w:t>.</w:t>
      </w:r>
    </w:p>
    <w:p w:rsidR="005E278C" w:rsidRDefault="005E278C" w:rsidP="005E278C">
      <w:pPr>
        <w:ind w:firstLine="709"/>
        <w:jc w:val="center"/>
        <w:rPr>
          <w:rFonts w:ascii="Calibri" w:hAnsi="Calibri"/>
          <w:sz w:val="28"/>
          <w:szCs w:val="28"/>
        </w:rPr>
      </w:pPr>
      <w:r>
        <w:rPr>
          <w:noProof/>
        </w:rPr>
        <w:drawing>
          <wp:inline distT="0" distB="0" distL="0" distR="0">
            <wp:extent cx="5376555" cy="3493410"/>
            <wp:effectExtent l="6092" t="6085" r="8503" b="5705"/>
            <wp:docPr id="3"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E278C" w:rsidRDefault="005E278C" w:rsidP="005E278C">
      <w:pPr>
        <w:ind w:firstLine="709"/>
        <w:jc w:val="both"/>
        <w:rPr>
          <w:rFonts w:ascii="Times New Roman" w:hAnsi="Times New Roman"/>
          <w:sz w:val="24"/>
          <w:szCs w:val="24"/>
        </w:rPr>
      </w:pPr>
      <w:r>
        <w:rPr>
          <w:rFonts w:ascii="Times New Roman" w:hAnsi="Times New Roman"/>
          <w:sz w:val="24"/>
          <w:szCs w:val="24"/>
        </w:rPr>
        <w:t>Згіднонаведенноговищеграфікукількістьвчиненихдій по реєстраціїмісцяпроживання у 2019 роцізменшилась.</w:t>
      </w:r>
    </w:p>
    <w:p w:rsidR="005E278C" w:rsidRDefault="005E278C" w:rsidP="005E278C">
      <w:pPr>
        <w:ind w:firstLine="709"/>
        <w:jc w:val="both"/>
        <w:rPr>
          <w:rFonts w:ascii="Calibri" w:hAnsi="Calibri"/>
          <w:sz w:val="28"/>
          <w:szCs w:val="28"/>
        </w:rPr>
      </w:pPr>
    </w:p>
    <w:p w:rsidR="005E278C" w:rsidRDefault="005E278C" w:rsidP="005E278C">
      <w:pPr>
        <w:ind w:firstLine="709"/>
        <w:jc w:val="center"/>
        <w:rPr>
          <w:sz w:val="28"/>
          <w:szCs w:val="28"/>
        </w:rPr>
      </w:pPr>
      <w:r>
        <w:rPr>
          <w:noProof/>
        </w:rPr>
        <w:lastRenderedPageBreak/>
        <w:drawing>
          <wp:inline distT="0" distB="0" distL="0" distR="0">
            <wp:extent cx="5273913" cy="3152798"/>
            <wp:effectExtent l="6104" t="6081" r="6358" b="3421"/>
            <wp:docPr id="4"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278C" w:rsidRDefault="005E278C" w:rsidP="005E278C">
      <w:pPr>
        <w:ind w:firstLine="709"/>
        <w:jc w:val="both"/>
        <w:rPr>
          <w:sz w:val="28"/>
          <w:szCs w:val="28"/>
        </w:rPr>
      </w:pPr>
    </w:p>
    <w:p w:rsidR="005E278C" w:rsidRDefault="005E278C" w:rsidP="005E278C">
      <w:pPr>
        <w:ind w:firstLine="709"/>
        <w:jc w:val="both"/>
        <w:rPr>
          <w:rFonts w:ascii="Times New Roman" w:hAnsi="Times New Roman"/>
          <w:sz w:val="24"/>
          <w:szCs w:val="24"/>
          <w:lang w:val="uk-UA"/>
        </w:rPr>
      </w:pPr>
      <w:r>
        <w:rPr>
          <w:rFonts w:ascii="Times New Roman" w:hAnsi="Times New Roman"/>
          <w:sz w:val="24"/>
          <w:szCs w:val="24"/>
          <w:lang w:val="uk-UA"/>
        </w:rPr>
        <w:t xml:space="preserve">Вартозазначитищо зменшення на данихадміністративнихпослуг у кількісномувиразі, пов’язано перш за все у зв’язку з високимистатистичнимипоказниками за 2018 рікобумовленимиоформленнямсубсидій та оформленнямдітей у ДНЗ та школим.Тернополя.    </w:t>
      </w:r>
    </w:p>
    <w:p w:rsidR="005E278C" w:rsidRDefault="005E278C" w:rsidP="005E278C">
      <w:pPr>
        <w:ind w:firstLine="708"/>
        <w:jc w:val="both"/>
        <w:rPr>
          <w:rFonts w:ascii="Times New Roman" w:hAnsi="Times New Roman"/>
          <w:sz w:val="24"/>
          <w:szCs w:val="24"/>
          <w:lang w:val="uk-UA"/>
        </w:rPr>
      </w:pPr>
      <w:r>
        <w:rPr>
          <w:rFonts w:ascii="Times New Roman" w:hAnsi="Times New Roman"/>
          <w:sz w:val="24"/>
          <w:szCs w:val="24"/>
          <w:lang w:val="uk-UA"/>
        </w:rPr>
        <w:t xml:space="preserve">Також у відповідності до Правил реєстраціїмісцяпроживання та з метою полегшенняпроцедуриреєстраціїмісцяпроживанняновонародженихдітейпосадовими особами відділу разом ізТернопільськимміськрайонним ВДРАЦС Головного територіальногоуправлінняюстиції у Тернопільськійобласті, провадитьсяроз’яснювальна робота через засобимасовоїінформаціїщодоможливостіреєстраціїмісцяпроживання при виготовленнісвідоцтва про народженнядитини, без відвідування батьками новонародженихдітей органу реєстрації. </w:t>
      </w:r>
    </w:p>
    <w:p w:rsidR="005E278C" w:rsidRDefault="005E278C" w:rsidP="005E278C">
      <w:pPr>
        <w:ind w:firstLine="708"/>
        <w:jc w:val="both"/>
        <w:rPr>
          <w:rFonts w:ascii="Times New Roman" w:hAnsi="Times New Roman"/>
          <w:sz w:val="24"/>
          <w:szCs w:val="24"/>
          <w:lang w:val="uk-UA"/>
        </w:rPr>
      </w:pPr>
      <w:r>
        <w:rPr>
          <w:rFonts w:ascii="Times New Roman" w:hAnsi="Times New Roman"/>
          <w:sz w:val="24"/>
          <w:szCs w:val="24"/>
          <w:lang w:val="uk-UA"/>
        </w:rPr>
        <w:t>Відповідно за звітнийперіод 2019р. відзначаємозбільшеннявідповіднихреєстрацій до 655 дій.</w:t>
      </w:r>
    </w:p>
    <w:p w:rsidR="005E278C" w:rsidRDefault="005E278C" w:rsidP="005E278C">
      <w:pPr>
        <w:jc w:val="center"/>
        <w:rPr>
          <w:rFonts w:ascii="Calibri" w:hAnsi="Calibri"/>
          <w:sz w:val="28"/>
          <w:szCs w:val="28"/>
          <w:lang w:eastAsia="en-US"/>
        </w:rPr>
      </w:pPr>
      <w:r>
        <w:rPr>
          <w:noProof/>
        </w:rPr>
        <w:lastRenderedPageBreak/>
        <w:drawing>
          <wp:inline distT="0" distB="0" distL="0" distR="0">
            <wp:extent cx="5960380" cy="4056885"/>
            <wp:effectExtent l="6088" t="6098" r="5707" b="4192"/>
            <wp:docPr id="5"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278C" w:rsidRDefault="005E278C" w:rsidP="005E278C">
      <w:pPr>
        <w:ind w:firstLine="708"/>
        <w:jc w:val="both"/>
        <w:rPr>
          <w:sz w:val="28"/>
          <w:szCs w:val="28"/>
        </w:rPr>
      </w:pPr>
    </w:p>
    <w:p w:rsidR="005E278C" w:rsidRDefault="005E278C" w:rsidP="005E278C">
      <w:pPr>
        <w:ind w:firstLine="708"/>
        <w:jc w:val="both"/>
        <w:rPr>
          <w:rFonts w:ascii="Times New Roman" w:hAnsi="Times New Roman"/>
          <w:sz w:val="24"/>
          <w:szCs w:val="24"/>
          <w:lang w:val="uk-UA"/>
        </w:rPr>
      </w:pPr>
      <w:r>
        <w:rPr>
          <w:rFonts w:ascii="Times New Roman" w:hAnsi="Times New Roman"/>
          <w:sz w:val="24"/>
          <w:szCs w:val="24"/>
          <w:lang w:val="uk-UA"/>
        </w:rPr>
        <w:t xml:space="preserve">Також за звітнийперіод 10 місяців 2019 року розглянуто 151 листи та звернень через систему електроннийдокументообіг та 6276 заяв на видачудовідки про реєстраціюмісцяпроживаннядитини, запитіввідорганів державної лади про доступ до персональнихданихгромадян та зверненьгромадян з різнихпитань, щобезпосередньонадійшли у відділреєстраціїпроживання особи управліннядержавноїреєстрації. </w:t>
      </w:r>
    </w:p>
    <w:p w:rsidR="005E278C" w:rsidRDefault="005E278C" w:rsidP="005E278C">
      <w:pPr>
        <w:ind w:firstLine="708"/>
        <w:jc w:val="both"/>
        <w:rPr>
          <w:rFonts w:ascii="Calibri" w:hAnsi="Calibri"/>
          <w:sz w:val="28"/>
          <w:szCs w:val="28"/>
          <w:lang w:eastAsia="en-US"/>
        </w:rPr>
      </w:pPr>
    </w:p>
    <w:p w:rsidR="005E278C" w:rsidRDefault="005E278C" w:rsidP="005E278C">
      <w:pPr>
        <w:ind w:firstLine="708"/>
        <w:jc w:val="center"/>
        <w:rPr>
          <w:sz w:val="28"/>
          <w:szCs w:val="28"/>
        </w:rPr>
      </w:pPr>
      <w:r>
        <w:rPr>
          <w:noProof/>
        </w:rPr>
        <w:lastRenderedPageBreak/>
        <w:drawing>
          <wp:inline distT="0" distB="0" distL="0" distR="0">
            <wp:extent cx="5397365" cy="3657846"/>
            <wp:effectExtent l="6100" t="6101" r="6735" b="3178"/>
            <wp:docPr id="6"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278C" w:rsidRDefault="005E278C" w:rsidP="005E278C">
      <w:pPr>
        <w:spacing w:after="0"/>
        <w:ind w:firstLine="708"/>
        <w:jc w:val="both"/>
        <w:rPr>
          <w:rFonts w:ascii="Times New Roman" w:hAnsi="Times New Roman"/>
          <w:sz w:val="24"/>
          <w:szCs w:val="24"/>
          <w:lang w:val="uk-UA"/>
        </w:rPr>
      </w:pPr>
    </w:p>
    <w:p w:rsidR="005E278C" w:rsidRDefault="005E278C" w:rsidP="005E278C">
      <w:pPr>
        <w:spacing w:after="0"/>
        <w:ind w:firstLine="708"/>
        <w:jc w:val="both"/>
        <w:rPr>
          <w:rFonts w:ascii="Times New Roman" w:hAnsi="Times New Roman"/>
          <w:sz w:val="24"/>
          <w:szCs w:val="24"/>
          <w:lang w:val="uk-UA"/>
        </w:rPr>
      </w:pPr>
      <w:r>
        <w:rPr>
          <w:rFonts w:ascii="Times New Roman" w:hAnsi="Times New Roman"/>
          <w:sz w:val="24"/>
          <w:szCs w:val="24"/>
          <w:lang w:val="uk-UA"/>
        </w:rPr>
        <w:t>Збільшення кількості звернень та запитівтретійрікпоспільпов’язаноіззмінами до Порядку вчиненнянотаріальнихдійнотаріусамиУкраїнивід 04.12.2017  № 3851/5, відповідно до чогоінформаціюстосовнопомерлої особи при заведеніспадковоїсправинадаютьвиключноорганиреєстрації.</w:t>
      </w:r>
    </w:p>
    <w:p w:rsidR="005E278C" w:rsidRDefault="005E278C" w:rsidP="005E278C">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Щоденнопосадовими особами відділу проводиться консультування та прийомгромадян з питаньреєстрації/зняттямісцяпроживання. </w:t>
      </w:r>
    </w:p>
    <w:p w:rsidR="005E278C" w:rsidRDefault="005E278C" w:rsidP="005E278C">
      <w:pPr>
        <w:spacing w:after="0"/>
        <w:ind w:firstLine="450"/>
        <w:jc w:val="both"/>
        <w:rPr>
          <w:rFonts w:ascii="Times New Roman" w:hAnsi="Times New Roman"/>
          <w:sz w:val="24"/>
          <w:szCs w:val="24"/>
          <w:lang w:val="uk-UA"/>
        </w:rPr>
      </w:pPr>
      <w:r>
        <w:rPr>
          <w:rFonts w:ascii="Times New Roman" w:hAnsi="Times New Roman"/>
          <w:sz w:val="24"/>
          <w:szCs w:val="24"/>
          <w:lang w:val="uk-UA"/>
        </w:rPr>
        <w:t>В середньому за один день працівникамивідділуздійснюєтьсяприйом та надаютьсяпослугипонад 125 особам з різнихпитань.</w:t>
      </w:r>
    </w:p>
    <w:p w:rsidR="005E278C" w:rsidRDefault="005E278C" w:rsidP="005E278C">
      <w:pPr>
        <w:pStyle w:val="a3"/>
        <w:suppressAutoHyphens w:val="0"/>
        <w:spacing w:line="276" w:lineRule="auto"/>
        <w:ind w:left="0" w:firstLine="450"/>
        <w:jc w:val="both"/>
        <w:rPr>
          <w:rFonts w:eastAsia="Calibri"/>
          <w:lang w:val="uk-UA" w:eastAsia="ru-RU"/>
        </w:rPr>
      </w:pPr>
      <w:r>
        <w:rPr>
          <w:rFonts w:eastAsia="Calibri"/>
          <w:lang w:val="uk-UA" w:eastAsia="ru-RU"/>
        </w:rPr>
        <w:t>За надання адміністративних послуг у сфері реєстрації місця проживання громадян до місцевого бюджету надійшло орієнтовно 262 066 грн.</w:t>
      </w:r>
    </w:p>
    <w:p w:rsidR="005E278C" w:rsidRDefault="005E278C" w:rsidP="005E278C">
      <w:pPr>
        <w:spacing w:after="0" w:line="240" w:lineRule="auto"/>
        <w:ind w:firstLine="709"/>
        <w:jc w:val="both"/>
        <w:rPr>
          <w:rFonts w:ascii="Times New Roman" w:eastAsia="Calibri" w:hAnsi="Times New Roman"/>
          <w:sz w:val="24"/>
          <w:szCs w:val="24"/>
          <w:lang w:val="uk-UA"/>
        </w:rPr>
      </w:pPr>
      <w:r>
        <w:rPr>
          <w:rFonts w:ascii="Times New Roman" w:hAnsi="Times New Roman"/>
          <w:b/>
          <w:sz w:val="24"/>
          <w:szCs w:val="24"/>
          <w:lang w:val="uk-UA"/>
        </w:rPr>
        <w:t>Відділом державної реєстрації юридичних та фізичних осіб - підприємців</w:t>
      </w:r>
      <w:r>
        <w:rPr>
          <w:rFonts w:ascii="Times New Roman" w:hAnsi="Times New Roman"/>
          <w:sz w:val="24"/>
          <w:szCs w:val="24"/>
          <w:lang w:val="uk-UA"/>
        </w:rPr>
        <w:t xml:space="preserve"> за період роботи з 01.01.2019 по 31.10.2019 року було вчинено 6333 реєстраційних дій як по м. Тернопіль так і Тернопільській області у результаті чого до місцевого бюджету було зараховано </w:t>
      </w:r>
      <w:r>
        <w:rPr>
          <w:rFonts w:ascii="Times New Roman" w:hAnsi="Times New Roman"/>
          <w:color w:val="000000"/>
          <w:sz w:val="24"/>
          <w:szCs w:val="24"/>
          <w:lang w:val="uk-UA"/>
        </w:rPr>
        <w:t>737043</w:t>
      </w:r>
      <w:r>
        <w:rPr>
          <w:rFonts w:ascii="Times New Roman" w:hAnsi="Times New Roman"/>
          <w:sz w:val="24"/>
          <w:szCs w:val="24"/>
          <w:lang w:val="uk-UA"/>
        </w:rPr>
        <w:t xml:space="preserve">,00 грн. Окрім того до державного бюджету було зараховано </w:t>
      </w:r>
      <w:r>
        <w:rPr>
          <w:rFonts w:ascii="Times New Roman" w:hAnsi="Times New Roman"/>
          <w:color w:val="000000"/>
          <w:sz w:val="24"/>
          <w:szCs w:val="24"/>
          <w:lang w:val="uk-UA"/>
        </w:rPr>
        <w:t xml:space="preserve">29500 </w:t>
      </w:r>
      <w:r>
        <w:rPr>
          <w:rFonts w:ascii="Times New Roman" w:hAnsi="Times New Roman"/>
          <w:sz w:val="24"/>
          <w:szCs w:val="24"/>
          <w:lang w:val="uk-UA"/>
        </w:rPr>
        <w:t>грн, за надання відомостей з Єдиного державного реєстру юридичних осіб, фізичних осіб – підприємців та громадських формувань.</w:t>
      </w:r>
    </w:p>
    <w:p w:rsidR="005E278C" w:rsidRDefault="005E278C" w:rsidP="005E278C">
      <w:pPr>
        <w:spacing w:after="0" w:line="240" w:lineRule="auto"/>
        <w:ind w:firstLine="709"/>
        <w:jc w:val="both"/>
        <w:rPr>
          <w:rFonts w:ascii="Times New Roman" w:hAnsi="Times New Roman"/>
          <w:sz w:val="24"/>
          <w:szCs w:val="24"/>
        </w:rPr>
      </w:pPr>
      <w:r>
        <w:rPr>
          <w:noProof/>
        </w:rPr>
        <w:lastRenderedPageBreak/>
        <w:drawing>
          <wp:inline distT="0" distB="0" distL="0" distR="0">
            <wp:extent cx="7499606" cy="4824844"/>
            <wp:effectExtent l="6094" t="6102" r="0" b="7754"/>
            <wp:docPr id="7"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278C" w:rsidRDefault="005E278C" w:rsidP="005E278C">
      <w:pPr>
        <w:spacing w:after="0"/>
        <w:jc w:val="both"/>
        <w:rPr>
          <w:rFonts w:ascii="Times New Roman" w:hAnsi="Times New Roman"/>
          <w:sz w:val="28"/>
          <w:szCs w:val="28"/>
        </w:rPr>
      </w:pPr>
    </w:p>
    <w:p w:rsidR="005E278C" w:rsidRDefault="005E278C" w:rsidP="005E278C">
      <w:pPr>
        <w:spacing w:after="0"/>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4"/>
        <w:gridCol w:w="1562"/>
        <w:gridCol w:w="2177"/>
        <w:gridCol w:w="2182"/>
        <w:gridCol w:w="1386"/>
      </w:tblGrid>
      <w:tr w:rsidR="005E278C" w:rsidTr="005E278C">
        <w:trPr>
          <w:trHeight w:val="831"/>
          <w:jc w:val="center"/>
        </w:trPr>
        <w:tc>
          <w:tcPr>
            <w:tcW w:w="2921" w:type="dxa"/>
            <w:tcBorders>
              <w:top w:val="single" w:sz="4" w:space="0" w:color="auto"/>
              <w:left w:val="single" w:sz="4" w:space="0" w:color="auto"/>
              <w:bottom w:val="single" w:sz="4" w:space="0" w:color="auto"/>
              <w:right w:val="single" w:sz="4" w:space="0" w:color="auto"/>
            </w:tcBorders>
            <w:hideMark/>
          </w:tcPr>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Державна реєстрація юридичних осіб та фізичних осіб - підприємців</w:t>
            </w:r>
          </w:p>
        </w:tc>
        <w:tc>
          <w:tcPr>
            <w:tcW w:w="2544"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За 2018 рік</w:t>
            </w:r>
          </w:p>
        </w:tc>
        <w:tc>
          <w:tcPr>
            <w:tcW w:w="3556"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За 10 місяців 2018 року</w:t>
            </w:r>
          </w:p>
        </w:tc>
        <w:tc>
          <w:tcPr>
            <w:tcW w:w="3568"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За 10 місяців 2019 року</w:t>
            </w:r>
          </w:p>
        </w:tc>
        <w:tc>
          <w:tcPr>
            <w:tcW w:w="1402"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lang w:val="uk-UA"/>
              </w:rPr>
            </w:pPr>
          </w:p>
          <w:p w:rsidR="005E278C" w:rsidRDefault="005E278C">
            <w:pPr>
              <w:spacing w:after="0" w:line="240" w:lineRule="auto"/>
              <w:rPr>
                <w:rFonts w:ascii="Times New Roman" w:eastAsia="Calibri" w:hAnsi="Times New Roman" w:cs="Times New Roman"/>
                <w:sz w:val="24"/>
                <w:szCs w:val="24"/>
                <w:lang w:val="uk-UA" w:eastAsia="en-US"/>
              </w:rPr>
            </w:pPr>
            <w:r>
              <w:rPr>
                <w:rFonts w:ascii="Times New Roman" w:hAnsi="Times New Roman"/>
                <w:sz w:val="24"/>
                <w:szCs w:val="24"/>
                <w:lang w:val="uk-UA"/>
              </w:rPr>
              <w:t xml:space="preserve">             Відсоткове порівняння </w:t>
            </w:r>
          </w:p>
        </w:tc>
      </w:tr>
      <w:tr w:rsidR="005E278C" w:rsidTr="005E278C">
        <w:trPr>
          <w:trHeight w:val="968"/>
          <w:jc w:val="center"/>
        </w:trPr>
        <w:tc>
          <w:tcPr>
            <w:tcW w:w="2921"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Кількість реєстраційних дій</w:t>
            </w:r>
          </w:p>
        </w:tc>
        <w:tc>
          <w:tcPr>
            <w:tcW w:w="2544"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6297</w:t>
            </w:r>
          </w:p>
          <w:p w:rsidR="005E278C" w:rsidRDefault="005E278C">
            <w:pPr>
              <w:spacing w:after="0" w:line="240" w:lineRule="auto"/>
              <w:jc w:val="center"/>
              <w:rPr>
                <w:rFonts w:ascii="Times New Roman" w:eastAsia="Calibri" w:hAnsi="Times New Roman" w:cs="Times New Roman"/>
                <w:sz w:val="24"/>
                <w:szCs w:val="24"/>
                <w:lang w:val="uk-UA" w:eastAsia="en-US"/>
              </w:rPr>
            </w:pPr>
          </w:p>
        </w:tc>
        <w:tc>
          <w:tcPr>
            <w:tcW w:w="3556"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sz w:val="24"/>
                <w:szCs w:val="24"/>
                <w:lang w:val="uk-UA" w:eastAsia="en-US"/>
              </w:rPr>
            </w:pPr>
            <w:r>
              <w:rPr>
                <w:rFonts w:ascii="Times New Roman" w:hAnsi="Times New Roman"/>
                <w:sz w:val="24"/>
                <w:szCs w:val="24"/>
                <w:lang w:val="uk-UA"/>
              </w:rPr>
              <w:t>5713</w:t>
            </w:r>
          </w:p>
        </w:tc>
        <w:tc>
          <w:tcPr>
            <w:tcW w:w="3568"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jc w:val="center"/>
              <w:rPr>
                <w:rFonts w:ascii="Times New Roman" w:eastAsia="Calibri" w:hAnsi="Times New Roman" w:cs="Times New Roman"/>
                <w:sz w:val="24"/>
                <w:szCs w:val="24"/>
                <w:lang w:val="uk-UA"/>
              </w:rPr>
            </w:pPr>
          </w:p>
          <w:p w:rsidR="005E278C" w:rsidRDefault="005E278C">
            <w:pPr>
              <w:spacing w:after="0" w:line="240" w:lineRule="auto"/>
              <w:jc w:val="center"/>
              <w:rPr>
                <w:rFonts w:ascii="Times New Roman" w:eastAsia="Calibri" w:hAnsi="Times New Roman" w:cs="Times New Roman"/>
                <w:color w:val="000000"/>
                <w:sz w:val="24"/>
                <w:szCs w:val="24"/>
                <w:lang w:val="uk-UA" w:eastAsia="en-US"/>
              </w:rPr>
            </w:pPr>
            <w:r>
              <w:rPr>
                <w:rFonts w:ascii="Times New Roman" w:hAnsi="Times New Roman"/>
                <w:color w:val="000000"/>
                <w:sz w:val="24"/>
                <w:szCs w:val="24"/>
                <w:lang w:val="uk-UA"/>
              </w:rPr>
              <w:t>6333</w:t>
            </w:r>
          </w:p>
        </w:tc>
        <w:tc>
          <w:tcPr>
            <w:tcW w:w="1402" w:type="dxa"/>
            <w:tcBorders>
              <w:top w:val="single" w:sz="4" w:space="0" w:color="auto"/>
              <w:left w:val="single" w:sz="4" w:space="0" w:color="auto"/>
              <w:bottom w:val="single" w:sz="4" w:space="0" w:color="auto"/>
              <w:right w:val="single" w:sz="4" w:space="0" w:color="auto"/>
            </w:tcBorders>
          </w:tcPr>
          <w:p w:rsidR="005E278C" w:rsidRDefault="005E278C">
            <w:pPr>
              <w:spacing w:after="0" w:line="240" w:lineRule="auto"/>
              <w:rPr>
                <w:rFonts w:ascii="Times New Roman" w:eastAsia="Calibri" w:hAnsi="Times New Roman" w:cs="Times New Roman"/>
                <w:sz w:val="24"/>
                <w:szCs w:val="24"/>
              </w:rPr>
            </w:pPr>
          </w:p>
          <w:p w:rsidR="005E278C" w:rsidRDefault="005E278C">
            <w:pPr>
              <w:spacing w:after="0" w:line="240" w:lineRule="auto"/>
              <w:rPr>
                <w:rFonts w:ascii="Times New Roman" w:eastAsia="Calibri" w:hAnsi="Times New Roman" w:cs="Times New Roman"/>
                <w:sz w:val="24"/>
                <w:szCs w:val="24"/>
                <w:lang w:val="uk-UA" w:eastAsia="en-US"/>
              </w:rPr>
            </w:pPr>
            <w:r>
              <w:rPr>
                <w:rFonts w:ascii="Times New Roman" w:hAnsi="Times New Roman"/>
                <w:sz w:val="24"/>
                <w:szCs w:val="24"/>
                <w:lang w:val="uk-UA"/>
              </w:rPr>
              <w:t>110 %</w:t>
            </w:r>
          </w:p>
        </w:tc>
      </w:tr>
    </w:tbl>
    <w:p w:rsidR="005E278C" w:rsidRDefault="005E278C" w:rsidP="005E278C">
      <w:pPr>
        <w:spacing w:after="0"/>
        <w:ind w:firstLine="709"/>
        <w:jc w:val="both"/>
        <w:rPr>
          <w:rFonts w:ascii="Times New Roman" w:eastAsia="Calibri" w:hAnsi="Times New Roman"/>
          <w:sz w:val="24"/>
          <w:szCs w:val="24"/>
        </w:rPr>
      </w:pPr>
    </w:p>
    <w:p w:rsidR="005E278C" w:rsidRDefault="005E278C" w:rsidP="005E278C">
      <w:pPr>
        <w:spacing w:after="0"/>
        <w:ind w:firstLine="709"/>
        <w:jc w:val="both"/>
        <w:rPr>
          <w:rFonts w:ascii="Times New Roman" w:hAnsi="Times New Roman"/>
          <w:sz w:val="24"/>
          <w:szCs w:val="24"/>
        </w:rPr>
      </w:pPr>
    </w:p>
    <w:p w:rsidR="005E278C" w:rsidRDefault="005E278C" w:rsidP="005E278C">
      <w:pPr>
        <w:spacing w:line="240" w:lineRule="auto"/>
        <w:rPr>
          <w:rFonts w:ascii="Times New Roman" w:hAnsi="Times New Roman"/>
          <w:sz w:val="24"/>
          <w:szCs w:val="24"/>
          <w:lang w:val="uk-UA" w:eastAsia="en-US"/>
        </w:rPr>
      </w:pPr>
      <w:r>
        <w:rPr>
          <w:rFonts w:ascii="Times New Roman" w:hAnsi="Times New Roman"/>
          <w:sz w:val="24"/>
          <w:szCs w:val="24"/>
          <w:lang w:val="uk-UA"/>
        </w:rPr>
        <w:t>Начальник управління                                                                                                                                                         В.П.Франків</w:t>
      </w:r>
    </w:p>
    <w:p w:rsidR="005E278C" w:rsidRDefault="005E278C" w:rsidP="005E278C">
      <w:pPr>
        <w:spacing w:line="240" w:lineRule="auto"/>
        <w:rPr>
          <w:rFonts w:ascii="Times New Roman" w:hAnsi="Times New Roman"/>
          <w:sz w:val="24"/>
          <w:szCs w:val="24"/>
          <w:lang w:val="uk-UA"/>
        </w:rPr>
      </w:pPr>
      <w:r>
        <w:rPr>
          <w:rFonts w:ascii="Times New Roman" w:hAnsi="Times New Roman"/>
          <w:sz w:val="24"/>
          <w:szCs w:val="24"/>
          <w:lang w:val="uk-UA"/>
        </w:rPr>
        <w:t xml:space="preserve"> державної реєстрації</w:t>
      </w:r>
    </w:p>
    <w:p w:rsidR="005E278C" w:rsidRDefault="005E278C" w:rsidP="005E278C">
      <w:pPr>
        <w:spacing w:line="240" w:lineRule="auto"/>
        <w:rPr>
          <w:rFonts w:ascii="Times New Roman" w:hAnsi="Times New Roman"/>
          <w:sz w:val="24"/>
          <w:szCs w:val="24"/>
          <w:lang w:val="uk-UA"/>
        </w:rPr>
      </w:pPr>
    </w:p>
    <w:p w:rsidR="005E278C" w:rsidRDefault="005E278C" w:rsidP="005E278C">
      <w:pPr>
        <w:spacing w:line="240" w:lineRule="auto"/>
        <w:rPr>
          <w:rFonts w:ascii="Times New Roman" w:hAnsi="Times New Roman"/>
          <w:sz w:val="24"/>
          <w:szCs w:val="24"/>
          <w:lang w:val="uk-UA"/>
        </w:rPr>
      </w:pPr>
    </w:p>
    <w:p w:rsidR="005E278C" w:rsidRDefault="005E278C" w:rsidP="005E278C">
      <w:pPr>
        <w:spacing w:line="240" w:lineRule="auto"/>
        <w:rPr>
          <w:rFonts w:ascii="Times New Roman" w:hAnsi="Times New Roman"/>
          <w:sz w:val="24"/>
          <w:szCs w:val="24"/>
          <w:lang w:val="uk-UA"/>
        </w:rPr>
      </w:pPr>
      <w:r>
        <w:rPr>
          <w:rFonts w:ascii="Times New Roman" w:hAnsi="Times New Roman"/>
          <w:sz w:val="24"/>
          <w:szCs w:val="24"/>
          <w:lang w:val="uk-UA"/>
        </w:rPr>
        <w:t>Заступник міського голови з питань</w:t>
      </w:r>
    </w:p>
    <w:p w:rsidR="005E278C" w:rsidRDefault="005E278C" w:rsidP="005E278C">
      <w:pPr>
        <w:spacing w:line="240" w:lineRule="auto"/>
        <w:rPr>
          <w:rFonts w:ascii="Times New Roman" w:hAnsi="Times New Roman"/>
          <w:sz w:val="24"/>
          <w:szCs w:val="24"/>
          <w:lang w:val="uk-UA"/>
        </w:rPr>
      </w:pPr>
      <w:r>
        <w:rPr>
          <w:rFonts w:ascii="Times New Roman" w:hAnsi="Times New Roman"/>
          <w:sz w:val="24"/>
          <w:szCs w:val="24"/>
          <w:lang w:val="uk-UA"/>
        </w:rPr>
        <w:t>діяльності виконавчих органів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В.Є. Дідич </w:t>
      </w:r>
    </w:p>
    <w:p w:rsidR="005E278C" w:rsidRDefault="005E278C" w:rsidP="005E278C">
      <w:pPr>
        <w:spacing w:line="240" w:lineRule="auto"/>
        <w:rPr>
          <w:rFonts w:ascii="Times New Roman" w:hAnsi="Times New Roman"/>
          <w:sz w:val="24"/>
          <w:szCs w:val="24"/>
          <w:lang w:val="uk-UA"/>
        </w:rPr>
      </w:pPr>
    </w:p>
    <w:p w:rsidR="005E278C" w:rsidRDefault="005E278C" w:rsidP="005E278C">
      <w:pPr>
        <w:spacing w:line="240" w:lineRule="auto"/>
        <w:rPr>
          <w:rFonts w:ascii="Times New Roman" w:hAnsi="Times New Roman"/>
          <w:sz w:val="24"/>
          <w:szCs w:val="24"/>
          <w:lang w:val="uk-UA"/>
        </w:rPr>
      </w:pPr>
    </w:p>
    <w:p w:rsidR="005E278C" w:rsidRDefault="005E278C" w:rsidP="005E278C">
      <w:pPr>
        <w:spacing w:line="240" w:lineRule="auto"/>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С.В.Надал</w:t>
      </w:r>
    </w:p>
    <w:p w:rsidR="005E278C" w:rsidRDefault="005E278C" w:rsidP="005E278C">
      <w:pPr>
        <w:spacing w:after="0"/>
        <w:jc w:val="both"/>
        <w:rPr>
          <w:rFonts w:ascii="Times New Roman" w:hAnsi="Times New Roman"/>
          <w:sz w:val="24"/>
          <w:szCs w:val="24"/>
          <w:lang w:val="uk-UA"/>
        </w:rPr>
      </w:pPr>
    </w:p>
    <w:p w:rsidR="00000000" w:rsidRDefault="005E278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C7D05"/>
    <w:multiLevelType w:val="hybridMultilevel"/>
    <w:tmpl w:val="CB1EBE50"/>
    <w:lvl w:ilvl="0" w:tplc="CDE20FF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E278C"/>
    <w:rsid w:val="005E2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uiPriority w:val="34"/>
    <w:semiHidden/>
    <w:unhideWhenUsed/>
    <w:qFormat/>
    <w:rsid w:val="005E278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5E2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2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2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28-Sluvka\Desktop\&#1047;&#1042;&#1030;&#1090;\1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28-Gorohivskiy\Downloads\&#1047;&#1042;&#1030;&#1058;%20&#1040;&#1085;&#1090;&#1086;&#1085;%2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28-Gorohivskiy\Desktop\&#1047;&#1042;&#1030;&#1058;%20&#1040;&#1085;&#1090;&#1086;&#108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28-Gorohivskiy\Downloads\&#1047;&#1042;&#1030;&#1058;%20&#1040;&#1085;&#1090;&#1086;&#1085;%20(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28-Gorohivskiy\Downloads\&#1047;&#1042;&#1030;&#1058;%20&#1040;&#1085;&#1090;&#1086;&#1085;%20(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28-Chuprun\Desktop\&#9675;&#9675;&#9675;%20-%20&#1082;&#1086;&#1087;&#1080;&#1103;.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i="0" baseline="0">
                <a:solidFill>
                  <a:schemeClr val="tx1"/>
                </a:solidFill>
              </a:rPr>
              <a:t>Сума отриманого адміністративного збору у сфері державної реєстрації</a:t>
            </a:r>
            <a:endParaRPr lang="ru-RU" b="1" i="0" baseline="0">
              <a:solidFill>
                <a:schemeClr val="tx1"/>
              </a:solidFill>
            </a:endParaRPr>
          </a:p>
        </c:rich>
      </c:tx>
      <c:spPr>
        <a:noFill/>
        <a:ln>
          <a:noFill/>
        </a:ln>
        <a:effectLst/>
      </c:spPr>
    </c:title>
    <c:view3D>
      <c:depthPercent val="100"/>
      <c:rAngAx val="1"/>
    </c:view3D>
    <c:floor>
      <c:spPr>
        <a:noFill/>
        <a:ln>
          <a:solidFill>
            <a:schemeClr val="bg1">
              <a:lumMod val="65000"/>
            </a:schemeClr>
          </a:solidFill>
        </a:ln>
        <a:effectLst/>
        <a:sp3d>
          <a:contourClr>
            <a:schemeClr val="bg1">
              <a:lumMod val="6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2290048118985127"/>
          <c:y val="0.2508333333333333"/>
          <c:w val="0.84654396325459325"/>
          <c:h val="0.66491542723826202"/>
        </c:manualLayout>
      </c:layout>
      <c:bar3DChart>
        <c:barDir val="col"/>
        <c:grouping val="stacked"/>
        <c:ser>
          <c:idx val="0"/>
          <c:order val="0"/>
          <c:spPr>
            <a:solidFill>
              <a:schemeClr val="accent6"/>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Лист1!$A$1:$A$3</c:f>
              <c:strCache>
                <c:ptCount val="3"/>
                <c:pt idx="0">
                  <c:v>2 018р.</c:v>
                </c:pt>
                <c:pt idx="1">
                  <c:v>10 місяців 2018 р.</c:v>
                </c:pt>
                <c:pt idx="2">
                  <c:v>10 місяців 2019 р.</c:v>
                </c:pt>
              </c:strCache>
            </c:strRef>
          </c:cat>
          <c:val>
            <c:numRef>
              <c:f>Лист1!$B$1:$B$3</c:f>
              <c:numCache>
                <c:formatCode>#,##0</c:formatCode>
                <c:ptCount val="3"/>
                <c:pt idx="0">
                  <c:v>1195980</c:v>
                </c:pt>
                <c:pt idx="1">
                  <c:v>1061000</c:v>
                </c:pt>
                <c:pt idx="2">
                  <c:v>720602</c:v>
                </c:pt>
              </c:numCache>
            </c:numRef>
          </c:val>
          <c:extLst xmlns:c16r2="http://schemas.microsoft.com/office/drawing/2015/06/chart">
            <c:ext xmlns:c16="http://schemas.microsoft.com/office/drawing/2014/chart" uri="{C3380CC4-5D6E-409C-BE32-E72D297353CC}">
              <c16:uniqueId val="{00000000-A00F-4558-962A-130CBE469A91}"/>
            </c:ext>
          </c:extLst>
        </c:ser>
        <c:dLbls>
          <c:showVal val="1"/>
        </c:dLbls>
        <c:shape val="box"/>
        <c:axId val="121935744"/>
        <c:axId val="121937280"/>
        <c:axId val="0"/>
        <c:extLst xmlns:c16r2="http://schemas.microsoft.com/office/drawing/2015/06/chart">
          <c:ext xmlns:c15="http://schemas.microsoft.com/office/drawing/2012/chart" uri="{02D57815-91ED-43cb-92C2-25804820EDAC}">
            <c15:filteredBarSeries>
              <c15:ser>
                <c:idx val="1"/>
                <c:order val="1"/>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Лист1!$A$1:$A$3</c15:sqref>
                        </c15:formulaRef>
                      </c:ext>
                    </c:extLst>
                    <c:strCache>
                      <c:ptCount val="3"/>
                      <c:pt idx="0">
                        <c:v>2 018р.</c:v>
                      </c:pt>
                      <c:pt idx="1">
                        <c:v>10 місяців 2018 р.</c:v>
                      </c:pt>
                      <c:pt idx="2">
                        <c:v>10 місяців 2019 р.</c:v>
                      </c:pt>
                    </c:strCache>
                  </c:strRef>
                </c:cat>
                <c:val>
                  <c:numRef>
                    <c:extLst>
                      <c:ext uri="{02D57815-91ED-43cb-92C2-25804820EDAC}">
                        <c15:formulaRef>
                          <c15:sqref>Лист1!$C$1:$C$3</c15:sqref>
                        </c15:formulaRef>
                      </c:ext>
                    </c:extLst>
                    <c:numCache>
                      <c:formatCode>General</c:formatCode>
                      <c:ptCount val="3"/>
                    </c:numCache>
                  </c:numRef>
                </c:val>
                <c:extLst>
                  <c:ext xmlns:c16="http://schemas.microsoft.com/office/drawing/2014/chart" uri="{C3380CC4-5D6E-409C-BE32-E72D297353CC}">
                    <c16:uniqueId val="{00000001-A00F-4558-962A-130CBE469A91}"/>
                  </c:ext>
                </c:extLst>
              </c15:ser>
            </c15:filteredBarSeries>
          </c:ext>
        </c:extLst>
      </c:bar3DChart>
      <c:catAx>
        <c:axId val="1219357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21937280"/>
        <c:crossesAt val="0"/>
        <c:auto val="1"/>
        <c:lblAlgn val="ctr"/>
        <c:lblOffset val="100"/>
      </c:catAx>
      <c:valAx>
        <c:axId val="121937280"/>
        <c:scaling>
          <c:orientation val="minMax"/>
        </c:scaling>
        <c:axPos val="l"/>
        <c:majorGridlines>
          <c:spPr>
            <a:ln w="9525" cap="flat" cmpd="sng" algn="ctr">
              <a:solidFill>
                <a:schemeClr val="bg1">
                  <a:lumMod val="50000"/>
                </a:schemeClr>
              </a:solidFill>
              <a:round/>
            </a:ln>
            <a:effectLst/>
          </c:spPr>
        </c:majorGridlines>
        <c:numFmt formatCode="#,##0" sourceLinked="1"/>
        <c:majorTickMark val="none"/>
        <c:tickLblPos val="low"/>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935744"/>
        <c:crosses val="autoZero"/>
        <c:crossBetween val="between"/>
      </c:valAx>
      <c:spPr>
        <a:solidFill>
          <a:schemeClr val="bg1">
            <a:lumMod val="95000"/>
          </a:schemeClr>
        </a:solidFill>
        <a:ln>
          <a:solidFill>
            <a:schemeClr val="bg1">
              <a:lumMod val="50000"/>
            </a:schemeClr>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800" b="1" i="0" u="none" strike="noStrike" kern="1200" cap="all" spc="150" baseline="0">
                <a:solidFill>
                  <a:schemeClr val="tx1">
                    <a:lumMod val="50000"/>
                    <a:lumOff val="50000"/>
                  </a:schemeClr>
                </a:solidFill>
                <a:latin typeface="+mn-lt"/>
                <a:ea typeface="+mn-ea"/>
                <a:cs typeface="+mn-cs"/>
              </a:defRPr>
            </a:pPr>
            <a:r>
              <a:rPr lang="uk-UA"/>
              <a:t>Реєстрація місця проживання.</a:t>
            </a:r>
          </a:p>
        </c:rich>
      </c:tx>
      <c:layout>
        <c:manualLayout>
          <c:xMode val="edge"/>
          <c:yMode val="edge"/>
          <c:x val="0.23377652489002609"/>
          <c:y val="4.4239310284768789E-2"/>
        </c:manualLayout>
      </c:layout>
      <c:overlay val="1"/>
      <c:spPr>
        <a:noFill/>
        <a:ln>
          <a:noFill/>
        </a:ln>
        <a:effectLst/>
      </c:spPr>
    </c:title>
    <c:view3D>
      <c:rotX val="10"/>
      <c:rotY val="0"/>
      <c:depthPercent val="100"/>
      <c:perspective val="30"/>
    </c:view3D>
    <c:floor>
      <c:spPr>
        <a:solidFill>
          <a:schemeClr val="lt1"/>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098204361856104"/>
          <c:y val="0.10580603210543123"/>
          <c:w val="0.86956266824054429"/>
          <c:h val="0.83167418502714152"/>
        </c:manualLayout>
      </c:layout>
      <c:bar3DChart>
        <c:barDir val="col"/>
        <c:grouping val="clustered"/>
        <c:ser>
          <c:idx val="0"/>
          <c:order val="0"/>
          <c:tx>
            <c:strRef>
              <c:f>Аркуш1!$K$3</c:f>
              <c:strCache>
                <c:ptCount val="1"/>
                <c:pt idx="0">
                  <c:v>2019 р. </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dLbls>
            <c:dLbl>
              <c:idx val="0"/>
              <c:layout>
                <c:manualLayout>
                  <c:x val="8.843312791315781E-3"/>
                  <c:y val="-3.5391448227815037E-2"/>
                </c:manualLayout>
              </c:layout>
              <c:showVal val="1"/>
            </c:dLbl>
            <c:dLbl>
              <c:idx val="1"/>
              <c:delete val="1"/>
            </c:dLbl>
            <c:dLbl>
              <c:idx val="2"/>
              <c:layout>
                <c:manualLayout>
                  <c:x val="0"/>
                  <c:y val="-1.4746436761589599E-2"/>
                </c:manualLayout>
              </c:layout>
              <c:showVal val="1"/>
            </c:dLbl>
            <c:spPr>
              <a:noFill/>
              <a:ln>
                <a:noFill/>
              </a:ln>
              <a:effectLst/>
            </c:spPr>
            <c:txPr>
              <a:bodyPr rot="0" spcFirstLastPara="1" vertOverflow="ellipsis" vert="horz" wrap="square" lIns="38100" tIns="19050" rIns="38100" bIns="19050" anchor="ctr" anchorCtr="1">
                <a:spAutoFit/>
              </a:bodyPr>
              <a:lstStyle/>
              <a:p>
                <a:pPr>
                  <a:defRPr lang="uk-UA" sz="1400" b="1" i="0" u="none" strike="noStrike" kern="1200" baseline="0">
                    <a:solidFill>
                      <a:srgbClr val="FF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Аркуш1!$L$1:$N$2</c:f>
              <c:strCache>
                <c:ptCount val="2"/>
                <c:pt idx="1">
                  <c:v>Реєстрація за 10 місяців</c:v>
                </c:pt>
              </c:strCache>
            </c:strRef>
          </c:cat>
          <c:val>
            <c:numRef>
              <c:f>Аркуш1!$L$3:$N$3</c:f>
              <c:numCache>
                <c:formatCode>General</c:formatCode>
                <c:ptCount val="3"/>
                <c:pt idx="0">
                  <c:v>9831</c:v>
                </c:pt>
                <c:pt idx="1">
                  <c:v>0</c:v>
                </c:pt>
                <c:pt idx="2">
                  <c:v>14254</c:v>
                </c:pt>
              </c:numCache>
            </c:numRef>
          </c:val>
          <c:shape val="cylinder"/>
          <c:extLst xmlns:c16r2="http://schemas.microsoft.com/office/drawing/2015/06/chart">
            <c:ext xmlns:c16="http://schemas.microsoft.com/office/drawing/2014/chart" uri="{C3380CC4-5D6E-409C-BE32-E72D297353CC}">
              <c16:uniqueId val="{00000003-3794-4A7C-833F-6714DE9F5808}"/>
            </c:ext>
          </c:extLst>
        </c:ser>
        <c:dLbls>
          <c:showVal val="1"/>
        </c:dLbls>
        <c:gapWidth val="160"/>
        <c:gapDepth val="0"/>
        <c:shape val="box"/>
        <c:axId val="121843712"/>
        <c:axId val="121845248"/>
        <c:axId val="0"/>
        <c:extLst xmlns:c16r2="http://schemas.microsoft.com/office/drawing/2015/06/chart">
          <c:ext xmlns:c15="http://schemas.microsoft.com/office/drawing/2012/chart" uri="{02D57815-91ED-43cb-92C2-25804820EDAC}">
            <c15:filteredBarSeries>
              <c15:ser>
                <c:idx val="1"/>
                <c:order val="1"/>
                <c:tx>
                  <c:strRef>
                    <c:extLst>
                      <c:ext uri="{02D57815-91ED-43cb-92C2-25804820EDAC}">
                        <c15:formulaRef>
                          <c15:sqref>Аркуш1!$K$4</c15:sqref>
                        </c15:formulaRef>
                      </c:ext>
                    </c:extLst>
                    <c:strCache>
                      <c:ptCount val="1"/>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Аркуш1!$L$1:$N$2</c15:sqref>
                        </c15:formulaRef>
                      </c:ext>
                    </c:extLst>
                    <c:strCache>
                      <c:ptCount val="2"/>
                      <c:pt idx="1">
                        <c:v>Реєстрація за 10 місяців</c:v>
                      </c:pt>
                    </c:strCache>
                  </c:strRef>
                </c:cat>
                <c:val>
                  <c:numRef>
                    <c:extLst>
                      <c:ext uri="{02D57815-91ED-43cb-92C2-25804820EDAC}">
                        <c15:formulaRef>
                          <c15:sqref>Аркуш1!$L$4:$N$4</c15:sqref>
                        </c15:formulaRef>
                      </c:ext>
                    </c:extLst>
                    <c:numCache>
                      <c:formatCode>General</c:formatCode>
                      <c:ptCount val="3"/>
                    </c:numCache>
                  </c:numRef>
                </c:val>
                <c:extLst>
                  <c:ext xmlns:c16="http://schemas.microsoft.com/office/drawing/2014/chart" uri="{C3380CC4-5D6E-409C-BE32-E72D297353CC}">
                    <c16:uniqueId val="{00000004-3794-4A7C-833F-6714DE9F580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Аркуш1!$K$5</c15:sqref>
                        </c15:formulaRef>
                      </c:ext>
                    </c:extLst>
                    <c:strCache>
                      <c:ptCount val="1"/>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Аркуш1!$L$1:$N$2</c15:sqref>
                        </c15:formulaRef>
                      </c:ext>
                    </c:extLst>
                    <c:strCache>
                      <c:ptCount val="2"/>
                      <c:pt idx="1">
                        <c:v>Реєстрація за 10 місяців</c:v>
                      </c:pt>
                    </c:strCache>
                  </c:strRef>
                </c:cat>
                <c:val>
                  <c:numRef>
                    <c:extLst xmlns:c15="http://schemas.microsoft.com/office/drawing/2012/chart">
                      <c:ext xmlns:c15="http://schemas.microsoft.com/office/drawing/2012/chart" uri="{02D57815-91ED-43cb-92C2-25804820EDAC}">
                        <c15:formulaRef>
                          <c15:sqref>Аркуш1!$L$5:$N$5</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5-3794-4A7C-833F-6714DE9F5808}"/>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Аркуш1!$K$6</c15:sqref>
                        </c15:formulaRef>
                      </c:ext>
                    </c:extLst>
                    <c:strCache>
                      <c:ptCount val="1"/>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Аркуш1!$L$1:$N$2</c15:sqref>
                        </c15:formulaRef>
                      </c:ext>
                    </c:extLst>
                    <c:strCache>
                      <c:ptCount val="2"/>
                      <c:pt idx="1">
                        <c:v>Реєстрація за 10 місяців</c:v>
                      </c:pt>
                    </c:strCache>
                  </c:strRef>
                </c:cat>
                <c:val>
                  <c:numRef>
                    <c:extLst xmlns:c15="http://schemas.microsoft.com/office/drawing/2012/chart">
                      <c:ext xmlns:c15="http://schemas.microsoft.com/office/drawing/2012/chart" uri="{02D57815-91ED-43cb-92C2-25804820EDAC}">
                        <c15:formulaRef>
                          <c15:sqref>Аркуш1!$L$6:$N$6</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6-3794-4A7C-833F-6714DE9F5808}"/>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Аркуш1!$K$7</c15:sqref>
                        </c15:formulaRef>
                      </c:ext>
                    </c:extLst>
                    <c:strCache>
                      <c:ptCount val="1"/>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Аркуш1!$L$1:$N$2</c15:sqref>
                        </c15:formulaRef>
                      </c:ext>
                    </c:extLst>
                    <c:strCache>
                      <c:ptCount val="2"/>
                      <c:pt idx="1">
                        <c:v>Реєстрація за 10 місяців</c:v>
                      </c:pt>
                    </c:strCache>
                  </c:strRef>
                </c:cat>
                <c:val>
                  <c:numRef>
                    <c:extLst xmlns:c15="http://schemas.microsoft.com/office/drawing/2012/chart">
                      <c:ext xmlns:c15="http://schemas.microsoft.com/office/drawing/2012/chart" uri="{02D57815-91ED-43cb-92C2-25804820EDAC}">
                        <c15:formulaRef>
                          <c15:sqref>Аркуш1!$L$7:$N$7</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7-3794-4A7C-833F-6714DE9F5808}"/>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Аркуш1!$K$8</c15:sqref>
                        </c15:formulaRef>
                      </c:ext>
                    </c:extLst>
                    <c:strCache>
                      <c:ptCount val="1"/>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Аркуш1!$L$1:$N$2</c15:sqref>
                        </c15:formulaRef>
                      </c:ext>
                    </c:extLst>
                    <c:strCache>
                      <c:ptCount val="2"/>
                      <c:pt idx="1">
                        <c:v>Реєстрація за 10 місяців</c:v>
                      </c:pt>
                    </c:strCache>
                  </c:strRef>
                </c:cat>
                <c:val>
                  <c:numRef>
                    <c:extLst xmlns:c15="http://schemas.microsoft.com/office/drawing/2012/chart">
                      <c:ext xmlns:c15="http://schemas.microsoft.com/office/drawing/2012/chart" uri="{02D57815-91ED-43cb-92C2-25804820EDAC}">
                        <c15:formulaRef>
                          <c15:sqref>Аркуш1!$L$8:$N$8</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8-3794-4A7C-833F-6714DE9F5808}"/>
                  </c:ext>
                </c:extLst>
              </c15:ser>
            </c15:filteredBarSeries>
          </c:ext>
        </c:extLst>
      </c:bar3DChart>
      <c:catAx>
        <c:axId val="121843712"/>
        <c:scaling>
          <c:orientation val="minMax"/>
        </c:scaling>
        <c:axPos val="b"/>
        <c:numFmt formatCode="General" sourceLinked="1"/>
        <c:tickLblPos val="nextTo"/>
        <c:spPr>
          <a:noFill/>
          <a:ln w="38100">
            <a:solidFill>
              <a:schemeClr val="accent1"/>
            </a:solidFill>
            <a:round/>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21845248"/>
        <c:crosses val="autoZero"/>
        <c:auto val="1"/>
        <c:lblAlgn val="ctr"/>
        <c:lblOffset val="100"/>
      </c:catAx>
      <c:valAx>
        <c:axId val="121845248"/>
        <c:scaling>
          <c:orientation val="minMax"/>
        </c:scaling>
        <c:axPos val="l"/>
        <c:title>
          <c:tx>
            <c:rich>
              <a:bodyPr rot="-5400000" spcFirstLastPara="1" vertOverflow="ellipsis" vert="horz" wrap="square" anchor="ctr" anchorCtr="1"/>
              <a:lstStyle/>
              <a:p>
                <a:pPr>
                  <a:defRPr lang="uk-UA" sz="900" b="1" i="0" u="none" strike="noStrike" kern="1200" baseline="0">
                    <a:solidFill>
                      <a:schemeClr val="tx1">
                        <a:lumMod val="65000"/>
                        <a:lumOff val="35000"/>
                      </a:schemeClr>
                    </a:solidFill>
                    <a:latin typeface="+mn-lt"/>
                    <a:ea typeface="+mn-ea"/>
                    <a:cs typeface="+mn-cs"/>
                  </a:defRPr>
                </a:pPr>
                <a:r>
                  <a:rPr lang="uk-UA" sz="1400">
                    <a:latin typeface="Times New Roman" panose="02020603050405020304" pitchFamily="18" charset="0"/>
                    <a:cs typeface="Times New Roman" panose="02020603050405020304" pitchFamily="18" charset="0"/>
                  </a:rPr>
                  <a:t>кількість осіб</a:t>
                </a:r>
              </a:p>
            </c:rich>
          </c:tx>
          <c:layout>
            <c:manualLayout>
              <c:xMode val="edge"/>
              <c:yMode val="edge"/>
              <c:x val="1.2412750445078701E-2"/>
              <c:y val="0.35272260663761923"/>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218437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lang="uk-UA" sz="1600" b="1" i="0" u="none" strike="noStrike" kern="1200" baseline="0">
                <a:solidFill>
                  <a:schemeClr val="tx2"/>
                </a:solidFill>
                <a:latin typeface="+mn-lt"/>
                <a:ea typeface="+mn-ea"/>
                <a:cs typeface="+mn-cs"/>
              </a:defRPr>
            </a:pPr>
            <a:r>
              <a:rPr lang="uk-UA"/>
              <a:t>Зняття з реєстрації місця проживання   </a:t>
            </a:r>
          </a:p>
          <a:p>
            <a:pPr algn="l">
              <a:defRPr lang="uk-UA" sz="1600" b="1" i="0" u="none" strike="noStrike" kern="1200" baseline="0">
                <a:solidFill>
                  <a:schemeClr val="tx2"/>
                </a:solidFill>
                <a:latin typeface="+mn-lt"/>
                <a:ea typeface="+mn-ea"/>
                <a:cs typeface="+mn-cs"/>
              </a:defRPr>
            </a:pPr>
            <a:r>
              <a:rPr lang="uk-UA"/>
              <a:t>2018р.                                                2019р.</a:t>
            </a:r>
          </a:p>
        </c:rich>
      </c:tx>
      <c:spPr>
        <a:noFill/>
        <a:ln>
          <a:noFill/>
        </a:ln>
        <a:effectLst/>
      </c:spPr>
    </c:title>
    <c:plotArea>
      <c:layout/>
      <c:pieChart>
        <c:varyColors val="1"/>
        <c:ser>
          <c:idx val="3"/>
          <c:order val="3"/>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plosion val="25"/>
          <c:dLbls>
            <c:dLbl>
              <c:idx val="0"/>
              <c:layout>
                <c:manualLayout>
                  <c:x val="-3.2823916752961887E-17"/>
                  <c:y val="-0.27965954270678928"/>
                </c:manualLayout>
              </c:layout>
              <c:dLblPos val="ctr"/>
              <c:showVal val="1"/>
            </c:dLbl>
            <c:dLbl>
              <c:idx val="2"/>
              <c:layout>
                <c:manualLayout>
                  <c:x val="0"/>
                  <c:y val="-0.32065006636722027"/>
                </c:manualLayout>
              </c:layout>
              <c:dLblPos val="ctr"/>
              <c:showVal val="1"/>
            </c:dLbl>
            <c:spPr>
              <a:noFill/>
              <a:ln>
                <a:noFill/>
              </a:ln>
              <a:effectLst/>
            </c:spPr>
            <c:txPr>
              <a:bodyPr rot="0" spcFirstLastPara="1" vertOverflow="ellipsis" vert="horz" wrap="square" lIns="38100" tIns="19050" rIns="38100" bIns="19050" anchor="ctr" anchorCtr="1">
                <a:spAutoFit/>
              </a:bodyPr>
              <a:lstStyle/>
              <a:p>
                <a:pPr>
                  <a:defRPr lang="uk-UA" sz="1200" b="1" i="0" u="none" strike="noStrike" kern="1200" baseline="0">
                    <a:solidFill>
                      <a:srgbClr val="FF0000"/>
                    </a:solidFill>
                    <a:latin typeface="+mn-lt"/>
                    <a:ea typeface="+mn-ea"/>
                    <a:cs typeface="+mn-cs"/>
                  </a:defRPr>
                </a:pPr>
                <a:endParaRPr lang="ru-RU"/>
              </a:p>
            </c:txPr>
            <c:dLblPos val="inEnd"/>
            <c:showVal val="1"/>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val>
            <c:numRef>
              <c:f>Аркуш1!$K$41:$N$41</c:f>
              <c:numCache>
                <c:formatCode>General</c:formatCode>
                <c:ptCount val="4"/>
                <c:pt idx="0">
                  <c:v>6505</c:v>
                </c:pt>
                <c:pt idx="2">
                  <c:v>8395</c:v>
                </c:pt>
              </c:numCache>
            </c:numRef>
          </c:val>
        </c:ser>
        <c:dLbls/>
        <c:firstSliceAng val="0"/>
      </c:pieChart>
      <c:barChart>
        <c:barDir val="col"/>
        <c:grouping val="stacked"/>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2"/>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val>
            <c:numRef>
              <c:f>Аркуш1!$K$38:$N$38</c:f>
              <c:numCache>
                <c:formatCode>General</c:formatCode>
                <c:ptCount val="4"/>
                <c:pt idx="0">
                  <c:v>0</c:v>
                </c:pt>
              </c:numCache>
            </c:numRef>
          </c:val>
        </c:ser>
        <c:ser>
          <c:idx val="1"/>
          <c:order val="1"/>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2"/>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val>
            <c:numRef>
              <c:f>Аркуш1!$K$39:$N$39</c:f>
              <c:numCache>
                <c:formatCode>General</c:formatCode>
                <c:ptCount val="4"/>
                <c:pt idx="0">
                  <c:v>0</c:v>
                </c:pt>
                <c:pt idx="2">
                  <c:v>0</c:v>
                </c:pt>
              </c:numCache>
            </c:numRef>
          </c:val>
        </c:ser>
        <c:ser>
          <c:idx val="2"/>
          <c:order val="2"/>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2"/>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val>
            <c:numRef>
              <c:f>Аркуш1!$K$40:$N$40</c:f>
              <c:numCache>
                <c:formatCode>General</c:formatCode>
                <c:ptCount val="4"/>
                <c:pt idx="0">
                  <c:v>0</c:v>
                </c:pt>
                <c:pt idx="2">
                  <c:v>0</c:v>
                </c:pt>
              </c:numCache>
            </c:numRef>
          </c:val>
        </c:ser>
        <c:dLbls>
          <c:showVal val="1"/>
        </c:dLbls>
        <c:overlap val="100"/>
        <c:axId val="121067392"/>
        <c:axId val="121081856"/>
      </c:barChart>
      <c:catAx>
        <c:axId val="121067392"/>
        <c:scaling>
          <c:orientation val="minMax"/>
        </c:scaling>
        <c:axPos val="b"/>
        <c:title>
          <c:tx>
            <c:rich>
              <a:bodyPr rot="0" spcFirstLastPara="1" vertOverflow="ellipsis" vert="horz" wrap="square" anchor="ctr" anchorCtr="1"/>
              <a:lstStyle/>
              <a:p>
                <a:pPr>
                  <a:defRPr lang="uk-UA" sz="900" b="1" i="0" u="none" strike="noStrike" kern="1200" baseline="0">
                    <a:solidFill>
                      <a:schemeClr val="tx2"/>
                    </a:solidFill>
                    <a:latin typeface="+mn-lt"/>
                    <a:ea typeface="+mn-ea"/>
                    <a:cs typeface="+mn-cs"/>
                  </a:defRPr>
                </a:pPr>
                <a:r>
                  <a:rPr lang="uk-UA" sz="1200">
                    <a:latin typeface="Times New Roman" panose="02020603050405020304" pitchFamily="18" charset="0"/>
                    <a:cs typeface="Times New Roman" panose="02020603050405020304" pitchFamily="18" charset="0"/>
                  </a:rPr>
                  <a:t>Реєстрація за 10 міс.</a:t>
                </a:r>
              </a:p>
            </c:rich>
          </c:tx>
          <c:layout>
            <c:manualLayout>
              <c:xMode val="edge"/>
              <c:yMode val="edge"/>
              <c:x val="0.42046893959291015"/>
              <c:y val="0.83923620811065069"/>
            </c:manualLayout>
          </c:layout>
          <c:spPr>
            <a:noFill/>
            <a:ln>
              <a:noFill/>
            </a:ln>
            <a:effectLst/>
          </c:spPr>
        </c:title>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uk-UA" sz="900" b="0" i="0" u="none" strike="noStrike" kern="1200" baseline="0">
                <a:solidFill>
                  <a:schemeClr val="tx2"/>
                </a:solidFill>
                <a:latin typeface="+mn-lt"/>
                <a:ea typeface="+mn-ea"/>
                <a:cs typeface="+mn-cs"/>
              </a:defRPr>
            </a:pPr>
            <a:endParaRPr lang="ru-RU"/>
          </a:p>
        </c:txPr>
        <c:crossAx val="121081856"/>
        <c:crosses val="autoZero"/>
        <c:auto val="1"/>
        <c:lblAlgn val="ctr"/>
        <c:lblOffset val="100"/>
      </c:catAx>
      <c:valAx>
        <c:axId val="121081856"/>
        <c:scaling>
          <c:orientation val="minMax"/>
        </c:scaling>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lang="uk-UA" sz="900" b="1" i="0" u="none" strike="noStrike" kern="1200" baseline="0">
                    <a:solidFill>
                      <a:schemeClr val="tx2"/>
                    </a:solidFill>
                    <a:latin typeface="+mn-lt"/>
                    <a:ea typeface="+mn-ea"/>
                    <a:cs typeface="+mn-cs"/>
                  </a:defRPr>
                </a:pPr>
                <a:r>
                  <a:rPr lang="uk-UA" sz="1200">
                    <a:latin typeface="Times New Roman" panose="02020603050405020304" pitchFamily="18" charset="0"/>
                    <a:cs typeface="Times New Roman" panose="02020603050405020304" pitchFamily="18" charset="0"/>
                  </a:rPr>
                  <a:t>Кількість</a:t>
                </a:r>
                <a:r>
                  <a:rPr lang="uk-UA" sz="1200" baseline="0">
                    <a:latin typeface="Times New Roman" panose="02020603050405020304" pitchFamily="18" charset="0"/>
                    <a:cs typeface="Times New Roman" panose="02020603050405020304" pitchFamily="18" charset="0"/>
                  </a:rPr>
                  <a:t> осіб</a:t>
                </a:r>
                <a:endParaRPr lang="uk-UA" sz="1200">
                  <a:latin typeface="Times New Roman" panose="02020603050405020304" pitchFamily="18" charset="0"/>
                  <a:cs typeface="Times New Roman" panose="02020603050405020304" pitchFamily="18" charset="0"/>
                </a:endParaRPr>
              </a:p>
            </c:rich>
          </c:tx>
          <c:layout>
            <c:manualLayout>
              <c:xMode val="edge"/>
              <c:yMode val="edge"/>
              <c:x val="1.2532912994375131E-2"/>
              <c:y val="0.3137060786457853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2"/>
                </a:solidFill>
                <a:latin typeface="+mn-lt"/>
                <a:ea typeface="+mn-ea"/>
                <a:cs typeface="+mn-cs"/>
              </a:defRPr>
            </a:pPr>
            <a:endParaRPr lang="ru-RU"/>
          </a:p>
        </c:txPr>
        <c:crossAx val="121067392"/>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r>
              <a:rPr lang="uk-UA"/>
              <a:t>Рестрація місця проживання новонароджених</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Аркуш1!$G$94:$G$101</c:f>
              <c:numCache>
                <c:formatCode>General</c:formatCode>
                <c:ptCount val="8"/>
                <c:pt idx="0">
                  <c:v>0</c:v>
                </c:pt>
                <c:pt idx="1">
                  <c:v>0</c:v>
                </c:pt>
                <c:pt idx="2">
                  <c:v>0</c:v>
                </c:pt>
              </c:numCache>
            </c:numRef>
          </c:val>
          <c:extLst xmlns:c16r2="http://schemas.microsoft.com/office/drawing/2015/06/chart">
            <c:ext xmlns:c16="http://schemas.microsoft.com/office/drawing/2014/chart" uri="{C3380CC4-5D6E-409C-BE32-E72D297353CC}">
              <c16:uniqueId val="{00000000-36FA-447B-8D48-4A2C937BFC26}"/>
            </c:ext>
          </c:extLst>
        </c:ser>
        <c:ser>
          <c:idx val="1"/>
          <c:order val="1"/>
          <c:tx>
            <c:strRef>
              <c:f>Аркуш1!$G$96</c:f>
              <c:strCache>
                <c:ptCount val="1"/>
                <c:pt idx="0">
                  <c:v>2018 р. </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Аркуш1!$H$94:$H$101</c:f>
              <c:numCache>
                <c:formatCode>General</c:formatCode>
                <c:ptCount val="8"/>
                <c:pt idx="2">
                  <c:v>432</c:v>
                </c:pt>
              </c:numCache>
            </c:numRef>
          </c:val>
          <c:extLst xmlns:c16r2="http://schemas.microsoft.com/office/drawing/2015/06/chart">
            <c:ext xmlns:c16="http://schemas.microsoft.com/office/drawing/2014/chart" uri="{C3380CC4-5D6E-409C-BE32-E72D297353CC}">
              <c16:uniqueId val="{00000001-36FA-447B-8D48-4A2C937BFC26}"/>
            </c:ext>
          </c:extLst>
        </c:ser>
        <c:ser>
          <c:idx val="2"/>
          <c:order val="2"/>
          <c:spPr>
            <a:solidFill>
              <a:schemeClr val="accent5"/>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Аркуш1!$I$94:$I$101</c:f>
              <c:numCache>
                <c:formatCode>General</c:formatCode>
                <c:ptCount val="8"/>
                <c:pt idx="1">
                  <c:v>0</c:v>
                </c:pt>
                <c:pt idx="2">
                  <c:v>0</c:v>
                </c:pt>
              </c:numCache>
            </c:numRef>
          </c:val>
          <c:extLst xmlns:c16r2="http://schemas.microsoft.com/office/drawing/2015/06/chart">
            <c:ext xmlns:c16="http://schemas.microsoft.com/office/drawing/2014/chart" uri="{C3380CC4-5D6E-409C-BE32-E72D297353CC}">
              <c16:uniqueId val="{00000002-36FA-447B-8D48-4A2C937BFC26}"/>
            </c:ext>
          </c:extLst>
        </c:ser>
        <c:ser>
          <c:idx val="3"/>
          <c:order val="3"/>
          <c:tx>
            <c:strRef>
              <c:f>Аркуш1!$I$96</c:f>
              <c:strCache>
                <c:ptCount val="1"/>
                <c:pt idx="0">
                  <c:v>2019 р.</c:v>
                </c:pt>
              </c:strCache>
            </c:strRef>
          </c:tx>
          <c:spPr>
            <a:solidFill>
              <a:schemeClr val="accent1">
                <a:lumMod val="6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Аркуш1!$J$94:$J$101</c:f>
              <c:numCache>
                <c:formatCode>General</c:formatCode>
                <c:ptCount val="8"/>
                <c:pt idx="2">
                  <c:v>655</c:v>
                </c:pt>
              </c:numCache>
            </c:numRef>
          </c:val>
          <c:extLst xmlns:c16r2="http://schemas.microsoft.com/office/drawing/2015/06/chart">
            <c:ext xmlns:c16="http://schemas.microsoft.com/office/drawing/2014/chart" uri="{C3380CC4-5D6E-409C-BE32-E72D297353CC}">
              <c16:uniqueId val="{00000003-36FA-447B-8D48-4A2C937BFC26}"/>
            </c:ext>
          </c:extLst>
        </c:ser>
        <c:dLbls>
          <c:showVal val="1"/>
        </c:dLbls>
        <c:shape val="box"/>
        <c:axId val="107316352"/>
        <c:axId val="107318272"/>
        <c:axId val="0"/>
      </c:bar3DChart>
      <c:catAx>
        <c:axId val="107316352"/>
        <c:scaling>
          <c:orientation val="minMax"/>
        </c:scaling>
        <c:axPos val="b"/>
        <c:title>
          <c:tx>
            <c:rich>
              <a:bodyPr rot="0" spcFirstLastPara="1" vertOverflow="ellipsis" vert="horz" wrap="square" anchor="ctr" anchorCtr="1"/>
              <a:lstStyle/>
              <a:p>
                <a:pPr>
                  <a:defRPr lang="uk-UA" sz="1000" b="0" i="0" u="none" strike="noStrike" kern="1200" baseline="0">
                    <a:solidFill>
                      <a:schemeClr val="tx1">
                        <a:lumMod val="65000"/>
                        <a:lumOff val="35000"/>
                      </a:schemeClr>
                    </a:solidFill>
                    <a:latin typeface="+mn-lt"/>
                    <a:ea typeface="+mn-ea"/>
                    <a:cs typeface="+mn-cs"/>
                  </a:defRPr>
                </a:pPr>
                <a:r>
                  <a:rPr lang="uk-UA" sz="1400">
                    <a:latin typeface="Times New Roman" panose="02020603050405020304" pitchFamily="18" charset="0"/>
                    <a:cs typeface="Times New Roman" panose="02020603050405020304" pitchFamily="18" charset="0"/>
                  </a:rPr>
                  <a:t>Реєстрація</a:t>
                </a:r>
                <a:r>
                  <a:rPr lang="uk-UA" sz="1400" baseline="0">
                    <a:latin typeface="Times New Roman" panose="02020603050405020304" pitchFamily="18" charset="0"/>
                    <a:cs typeface="Times New Roman" panose="02020603050405020304" pitchFamily="18" charset="0"/>
                  </a:rPr>
                  <a:t> за 10 міс.</a:t>
                </a:r>
                <a:endParaRPr lang="uk-UA" sz="1400">
                  <a:latin typeface="Times New Roman" panose="02020603050405020304" pitchFamily="18" charset="0"/>
                  <a:cs typeface="Times New Roman" panose="02020603050405020304" pitchFamily="18" charset="0"/>
                </a:endParaRPr>
              </a:p>
            </c:rich>
          </c:tx>
          <c:layout>
            <c:manualLayout>
              <c:xMode val="edge"/>
              <c:yMode val="edge"/>
              <c:x val="0.40283097626487196"/>
              <c:y val="0.88081423351135213"/>
            </c:manualLayout>
          </c:layout>
          <c:spPr>
            <a:noFill/>
            <a:ln>
              <a:noFill/>
            </a:ln>
            <a:effectLst/>
          </c:spPr>
        </c:title>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07318272"/>
        <c:crosses val="autoZero"/>
        <c:auto val="1"/>
        <c:lblAlgn val="ctr"/>
        <c:lblOffset val="100"/>
      </c:catAx>
      <c:valAx>
        <c:axId val="1073182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uk-UA" sz="1000" b="0" i="0" u="none" strike="noStrike" kern="1200" baseline="0">
                    <a:solidFill>
                      <a:schemeClr val="tx1">
                        <a:lumMod val="65000"/>
                        <a:lumOff val="35000"/>
                      </a:schemeClr>
                    </a:solidFill>
                    <a:latin typeface="+mn-lt"/>
                    <a:ea typeface="+mn-ea"/>
                    <a:cs typeface="+mn-cs"/>
                  </a:defRPr>
                </a:pPr>
                <a:r>
                  <a:rPr lang="uk-UA" sz="1400">
                    <a:latin typeface="Times New Roman" panose="02020603050405020304" pitchFamily="18" charset="0"/>
                    <a:cs typeface="Times New Roman" panose="02020603050405020304" pitchFamily="18" charset="0"/>
                  </a:rPr>
                  <a:t>кількість</a:t>
                </a:r>
                <a:r>
                  <a:rPr lang="uk-UA" sz="1400" baseline="0">
                    <a:latin typeface="Times New Roman" panose="02020603050405020304" pitchFamily="18" charset="0"/>
                    <a:cs typeface="Times New Roman" panose="02020603050405020304" pitchFamily="18" charset="0"/>
                  </a:rPr>
                  <a:t>  осіб</a:t>
                </a:r>
                <a:endParaRPr lang="uk-UA" sz="1400">
                  <a:latin typeface="Times New Roman" panose="02020603050405020304" pitchFamily="18" charset="0"/>
                  <a:cs typeface="Times New Roman" panose="02020603050405020304" pitchFamily="18" charset="0"/>
                </a:endParaRPr>
              </a:p>
            </c:rich>
          </c:tx>
          <c:layout>
            <c:manualLayout>
              <c:xMode val="edge"/>
              <c:yMode val="edge"/>
              <c:x val="1.8999474672182493E-2"/>
              <c:y val="0.3320355083448648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07316352"/>
        <c:crosses val="autoZero"/>
        <c:crossBetween val="between"/>
      </c:valAx>
      <c:spPr>
        <a:noFill/>
        <a:ln>
          <a:noFill/>
        </a:ln>
        <a:effectLst/>
      </c:spPr>
    </c:plotArea>
    <c:legend>
      <c:legendPos val="r"/>
      <c:legendEntry>
        <c:idx val="0"/>
        <c:delete val="1"/>
      </c:legendEntry>
      <c:legendEntry>
        <c:idx val="2"/>
        <c:delete val="1"/>
      </c:legendEntry>
      <c:spPr>
        <a:noFill/>
        <a:ln>
          <a:noFill/>
        </a:ln>
        <a:effectLst/>
      </c:spPr>
      <c:txPr>
        <a:bodyPr rot="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r>
              <a:rPr lang="uk-UA"/>
              <a:t>Кількість запитів які надійшли на розгляд відділу реєстрації  через систему електронний документообіг та безпосередньо за адресою</a:t>
            </a:r>
          </a:p>
        </c:rich>
      </c:tx>
      <c:layout>
        <c:manualLayout>
          <c:xMode val="edge"/>
          <c:yMode val="edge"/>
          <c:x val="0.12830917373526612"/>
          <c:y val="3.3970725265773119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val>
            <c:numRef>
              <c:f>Аркуш1!$G$139:$G$146</c:f>
              <c:numCache>
                <c:formatCode>General</c:formatCode>
                <c:ptCount val="8"/>
                <c:pt idx="0">
                  <c:v>0</c:v>
                </c:pt>
                <c:pt idx="1">
                  <c:v>0</c:v>
                </c:pt>
                <c:pt idx="2">
                  <c:v>0</c:v>
                </c:pt>
              </c:numCache>
            </c:numRef>
          </c:val>
          <c:extLst xmlns:c16r2="http://schemas.microsoft.com/office/drawing/2015/06/chart">
            <c:ext xmlns:c16="http://schemas.microsoft.com/office/drawing/2014/chart" uri="{C3380CC4-5D6E-409C-BE32-E72D297353CC}">
              <c16:uniqueId val="{00000000-C1C9-446E-9588-1347EA1880C3}"/>
            </c:ext>
          </c:extLst>
        </c:ser>
        <c:ser>
          <c:idx val="1"/>
          <c:order val="1"/>
          <c:tx>
            <c:strRef>
              <c:f>Аркуш1!$G$141</c:f>
              <c:strCache>
                <c:ptCount val="1"/>
                <c:pt idx="0">
                  <c:v>2019 р. </c:v>
                </c:pt>
              </c:strCache>
            </c:strRef>
          </c:tx>
          <c:spPr>
            <a:solidFill>
              <a:schemeClr val="accent3"/>
            </a:solidFill>
            <a:ln>
              <a:noFill/>
            </a:ln>
            <a:effectLst/>
            <a:sp3d/>
          </c:spPr>
          <c:dLbls>
            <c:dLbl>
              <c:idx val="2"/>
              <c:layout>
                <c:manualLayout>
                  <c:x val="-5.4080224245010647E-2"/>
                  <c:y val="0.11124749392025875"/>
                </c:manualLayout>
              </c:layout>
              <c:showVal val="1"/>
            </c:dLbl>
            <c:spPr>
              <a:noFill/>
              <a:ln>
                <a:noFill/>
              </a:ln>
              <a:effectLst/>
            </c:spPr>
            <c:txPr>
              <a:bodyPr rot="0" spcFirstLastPara="1" vertOverflow="ellipsis" vert="horz" wrap="square" lIns="38100" tIns="19050" rIns="38100" bIns="19050" anchor="ctr" anchorCtr="1">
                <a:spAutoFit/>
              </a:bodyPr>
              <a:lstStyle/>
              <a:p>
                <a:pPr>
                  <a:defRPr lang="uk-UA" sz="1200" b="1" i="0" u="none" strike="noStrike" kern="1200" baseline="0">
                    <a:solidFill>
                      <a:srgbClr val="FF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Аркуш1!$H$139:$H$146</c:f>
              <c:numCache>
                <c:formatCode>General</c:formatCode>
                <c:ptCount val="8"/>
                <c:pt idx="2">
                  <c:v>6276</c:v>
                </c:pt>
              </c:numCache>
            </c:numRef>
          </c:val>
          <c:extLst xmlns:c16r2="http://schemas.microsoft.com/office/drawing/2015/06/chart">
            <c:ext xmlns:c16="http://schemas.microsoft.com/office/drawing/2014/chart" uri="{C3380CC4-5D6E-409C-BE32-E72D297353CC}">
              <c16:uniqueId val="{00000001-C1C9-446E-9588-1347EA1880C3}"/>
            </c:ext>
          </c:extLst>
        </c:ser>
        <c:ser>
          <c:idx val="2"/>
          <c:order val="2"/>
          <c:spPr>
            <a:solidFill>
              <a:schemeClr val="accent5"/>
            </a:solidFill>
            <a:ln>
              <a:noFill/>
            </a:ln>
            <a:effectLst/>
            <a:sp3d/>
          </c:spPr>
          <c:val>
            <c:numRef>
              <c:f>Аркуш1!$I$139:$I$146</c:f>
              <c:numCache>
                <c:formatCode>General</c:formatCode>
                <c:ptCount val="8"/>
                <c:pt idx="1">
                  <c:v>0</c:v>
                </c:pt>
                <c:pt idx="2">
                  <c:v>0</c:v>
                </c:pt>
              </c:numCache>
            </c:numRef>
          </c:val>
          <c:extLst xmlns:c16r2="http://schemas.microsoft.com/office/drawing/2015/06/chart">
            <c:ext xmlns:c16="http://schemas.microsoft.com/office/drawing/2014/chart" uri="{C3380CC4-5D6E-409C-BE32-E72D297353CC}">
              <c16:uniqueId val="{00000002-C1C9-446E-9588-1347EA1880C3}"/>
            </c:ext>
          </c:extLst>
        </c:ser>
        <c:ser>
          <c:idx val="3"/>
          <c:order val="3"/>
          <c:tx>
            <c:strRef>
              <c:f>Аркуш1!$I$141</c:f>
              <c:strCache>
                <c:ptCount val="1"/>
                <c:pt idx="0">
                  <c:v>2018 р.</c:v>
                </c:pt>
              </c:strCache>
            </c:strRef>
          </c:tx>
          <c:spPr>
            <a:solidFill>
              <a:schemeClr val="accent1">
                <a:lumMod val="60000"/>
              </a:schemeClr>
            </a:solidFill>
            <a:ln>
              <a:noFill/>
            </a:ln>
            <a:effectLst/>
            <a:sp3d/>
          </c:spPr>
          <c:dLbls>
            <c:dLbl>
              <c:idx val="2"/>
              <c:layout>
                <c:manualLayout>
                  <c:x val="6.8188108830665575E-2"/>
                  <c:y val="9.3865072995218374E-2"/>
                </c:manualLayout>
              </c:layout>
              <c:showVal val="1"/>
            </c:dLbl>
            <c:spPr>
              <a:noFill/>
              <a:ln>
                <a:noFill/>
              </a:ln>
              <a:effectLst/>
            </c:spPr>
            <c:txPr>
              <a:bodyPr rot="0" spcFirstLastPara="1" vertOverflow="ellipsis" vert="horz" wrap="square" lIns="38100" tIns="19050" rIns="38100" bIns="19050" anchor="ctr" anchorCtr="1">
                <a:spAutoFit/>
              </a:bodyPr>
              <a:lstStyle/>
              <a:p>
                <a:pPr>
                  <a:defRPr lang="uk-UA" sz="1200" b="1" i="0" u="none" strike="noStrike" kern="1200" baseline="0">
                    <a:solidFill>
                      <a:srgbClr val="FF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Аркуш1!$J$139:$J$146</c:f>
              <c:numCache>
                <c:formatCode>General</c:formatCode>
                <c:ptCount val="8"/>
                <c:pt idx="2">
                  <c:v>5491</c:v>
                </c:pt>
              </c:numCache>
            </c:numRef>
          </c:val>
          <c:extLst xmlns:c16r2="http://schemas.microsoft.com/office/drawing/2015/06/chart">
            <c:ext xmlns:c16="http://schemas.microsoft.com/office/drawing/2014/chart" uri="{C3380CC4-5D6E-409C-BE32-E72D297353CC}">
              <c16:uniqueId val="{00000003-C1C9-446E-9588-1347EA1880C3}"/>
            </c:ext>
          </c:extLst>
        </c:ser>
        <c:dLbls/>
        <c:shape val="box"/>
        <c:axId val="98490624"/>
        <c:axId val="103285120"/>
        <c:axId val="0"/>
      </c:bar3DChart>
      <c:catAx>
        <c:axId val="98490624"/>
        <c:scaling>
          <c:orientation val="minMax"/>
        </c:scaling>
        <c:axPos val="b"/>
        <c:title>
          <c:tx>
            <c:rich>
              <a:bodyPr rot="0" spcFirstLastPara="1" vertOverflow="ellipsis" vert="horz" wrap="square" anchor="ctr" anchorCtr="1"/>
              <a:lstStyle/>
              <a:p>
                <a:pPr>
                  <a:defRPr lang="uk-UA" sz="1000" b="0" i="0" u="none" strike="noStrike" kern="1200" baseline="0">
                    <a:solidFill>
                      <a:schemeClr val="tx1">
                        <a:lumMod val="65000"/>
                        <a:lumOff val="35000"/>
                      </a:schemeClr>
                    </a:solidFill>
                    <a:latin typeface="+mn-lt"/>
                    <a:ea typeface="+mn-ea"/>
                    <a:cs typeface="+mn-cs"/>
                  </a:defRPr>
                </a:pPr>
                <a:r>
                  <a:rPr lang="uk-UA" sz="1800" b="0" i="0" baseline="0">
                    <a:effectLst/>
                  </a:rPr>
                  <a:t>Реєстрація за 10 міс.</a:t>
                </a:r>
                <a:endParaRPr lang="uk-UA">
                  <a:effectLst/>
                </a:endParaRPr>
              </a:p>
            </c:rich>
          </c:tx>
          <c:layout/>
          <c:spPr>
            <a:noFill/>
            <a:ln>
              <a:noFill/>
            </a:ln>
            <a:effectLst/>
          </c:spPr>
        </c:title>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03285120"/>
        <c:crosses val="autoZero"/>
        <c:auto val="1"/>
        <c:lblAlgn val="ctr"/>
        <c:lblOffset val="100"/>
      </c:catAx>
      <c:valAx>
        <c:axId val="103285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98490624"/>
        <c:crosses val="autoZero"/>
        <c:crossBetween val="between"/>
      </c:valAx>
      <c:spPr>
        <a:noFill/>
        <a:ln>
          <a:noFill/>
        </a:ln>
        <a:effectLst/>
      </c:spPr>
    </c:plotArea>
    <c:legend>
      <c:legendPos val="r"/>
      <c:legendEntry>
        <c:idx val="0"/>
        <c:delete val="1"/>
      </c:legendEntry>
      <c:legendEntry>
        <c:idx val="2"/>
        <c:delete val="1"/>
      </c:legendEntry>
      <c:layout/>
      <c:spPr>
        <a:noFill/>
        <a:ln>
          <a:noFill/>
        </a:ln>
        <a:effectLst/>
      </c:spPr>
      <c:txPr>
        <a:bodyPr rot="0" spcFirstLastPara="1" vertOverflow="ellipsis" vert="horz" wrap="square" anchor="ctr" anchorCtr="1"/>
        <a:lstStyle/>
        <a:p>
          <a:pPr rtl="0">
            <a:defRPr lang="uk-UA"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roundedCorners val="1"/>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spc="1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r>
              <a:rPr lang="en-US"/>
              <a:t>            </a:t>
            </a:r>
            <a:r>
              <a:rPr lang="ru-RU"/>
              <a:t>Кільк</a:t>
            </a:r>
            <a:r>
              <a:rPr lang="uk-UA"/>
              <a:t>і</a:t>
            </a:r>
            <a:r>
              <a:rPr lang="ru-RU"/>
              <a:t>сть зареєстрованих заяв  </a:t>
            </a:r>
            <a:endParaRPr lang="uk-UA"/>
          </a:p>
          <a:p>
            <a:pPr algn="ctr">
              <a:defRPr sz="1600" b="1" i="0" u="none" strike="noStrike" kern="1200" spc="1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r>
              <a:rPr lang="en-US"/>
              <a:t> </a:t>
            </a:r>
            <a:r>
              <a:rPr lang="ru-RU"/>
              <a:t>10 місяців 2018 та 10 місяців 2019 року.</a:t>
            </a:r>
          </a:p>
        </c:rich>
      </c:tx>
      <c:layout>
        <c:manualLayout>
          <c:xMode val="edge"/>
          <c:yMode val="edge"/>
          <c:x val="0.22080791931465418"/>
          <c:y val="1.6302761163265282E-2"/>
        </c:manualLayout>
      </c:layout>
      <c:spPr>
        <a:noFill/>
        <a:ln>
          <a:noFill/>
        </a:ln>
        <a:effectLst/>
      </c:spPr>
    </c:title>
    <c:plotArea>
      <c:layout>
        <c:manualLayout>
          <c:layoutTarget val="inner"/>
          <c:xMode val="edge"/>
          <c:yMode val="edge"/>
          <c:x val="6.275657167219581E-2"/>
          <c:y val="0.16440170150212804"/>
          <c:w val="0.89241682987596072"/>
          <c:h val="0.44975485341818833"/>
        </c:manualLayout>
      </c:layout>
      <c:areaChart>
        <c:grouping val="stacked"/>
        <c:ser>
          <c:idx val="0"/>
          <c:order val="0"/>
          <c:spPr>
            <a:solidFill>
              <a:schemeClr val="accent4"/>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cat>
            <c:multiLvlStrRef>
              <c:f>Лист1!$A$1:$B$14</c:f>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f>Лист1!$C$1:$C$14</c:f>
              <c:numCache>
                <c:formatCode>General</c:formatCode>
                <c:ptCount val="14"/>
              </c:numCache>
            </c:numRef>
          </c:val>
          <c:extLst xmlns:c16r2="http://schemas.microsoft.com/office/drawing/2015/06/chart">
            <c:ext xmlns:c16="http://schemas.microsoft.com/office/drawing/2014/chart" uri="{C3380CC4-5D6E-409C-BE32-E72D297353CC}">
              <c16:uniqueId val="{00000000-952E-4095-B226-AAB35B41F882}"/>
            </c:ext>
          </c:extLst>
        </c:ser>
        <c:dLbls/>
        <c:axId val="97219712"/>
        <c:axId val="97221248"/>
      </c:areaChart>
      <c:barChart>
        <c:barDir val="col"/>
        <c:grouping val="clustered"/>
        <c:ser>
          <c:idx val="1"/>
          <c:order val="1"/>
          <c:spPr>
            <a:solidFill>
              <a:srgbClr val="7030A0"/>
            </a:solidFill>
            <a:ln>
              <a:noFill/>
            </a:ln>
            <a:effectLst>
              <a:outerShdw blurRad="50800" dist="38100" dir="5400000" algn="ctr" rotWithShape="0">
                <a:srgbClr val="000000">
                  <a:alpha val="43137"/>
                </a:srgbClr>
              </a:outerShdw>
              <a:softEdge rad="12700"/>
            </a:effectLst>
            <a:scene3d>
              <a:camera prst="orthographicFront"/>
              <a:lightRig rig="flood" dir="t"/>
            </a:scene3d>
            <a:sp3d prstMaterial="dkEdge">
              <a:bevelT w="44450" h="50800" prst="slope"/>
              <a:bevelB/>
            </a:sp3d>
          </c:spPr>
          <c:dPt>
            <c:idx val="9"/>
            <c:extLst xmlns:c16r2="http://schemas.microsoft.com/office/drawing/2015/06/chart">
              <c:ext xmlns:c16="http://schemas.microsoft.com/office/drawing/2014/chart" uri="{C3380CC4-5D6E-409C-BE32-E72D297353CC}">
                <c16:uniqueId val="{00000002-952E-4095-B226-AAB35B41F882}"/>
              </c:ext>
            </c:extLst>
          </c:dPt>
          <c:dLbls>
            <c:dLbl>
              <c:idx val="11"/>
              <c:spPr>
                <a:solidFill>
                  <a:schemeClr val="accent3">
                    <a:lumMod val="50000"/>
                  </a:schemeClr>
                </a:solidFill>
                <a:ln>
                  <a:noFill/>
                </a:ln>
                <a:effectLst>
                  <a:outerShdw blurRad="50800" dist="38100" dir="13500000" algn="br" rotWithShape="0">
                    <a:prstClr val="black">
                      <a:alpha val="40000"/>
                    </a:prstClr>
                  </a:outerShdw>
                </a:effectLst>
              </c:spPr>
              <c:txPr>
                <a:bodyPr rot="0" spcFirstLastPara="1" vertOverflow="ellipsis" vert="horz" wrap="square" anchor="ctr" anchorCtr="1"/>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dLbl>
            <c:spPr>
              <a:solidFill>
                <a:schemeClr val="accent3">
                  <a:lumMod val="50000"/>
                </a:schemeClr>
              </a:solidFill>
              <a:ln>
                <a:noFill/>
              </a:ln>
              <a:effectLst/>
            </c:spPr>
            <c:txPr>
              <a:bodyPr rot="0" spcFirstLastPara="1" vertOverflow="ellipsis" vert="horz" wrap="square" anchor="ctr" anchorCtr="1"/>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Val val="1"/>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multiLvlStrRef>
              <c:f>Лист1!$A$1:$B$14</c:f>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f>Лист1!$D$1:$D$14</c:f>
              <c:numCache>
                <c:formatCode>General</c:formatCode>
                <c:ptCount val="14"/>
                <c:pt idx="0">
                  <c:v>264</c:v>
                </c:pt>
                <c:pt idx="1">
                  <c:v>1685</c:v>
                </c:pt>
                <c:pt idx="2">
                  <c:v>979</c:v>
                </c:pt>
                <c:pt idx="3">
                  <c:v>1226</c:v>
                </c:pt>
                <c:pt idx="4">
                  <c:v>1249</c:v>
                </c:pt>
                <c:pt idx="5">
                  <c:v>53</c:v>
                </c:pt>
                <c:pt idx="6">
                  <c:v>121</c:v>
                </c:pt>
                <c:pt idx="7">
                  <c:v>314</c:v>
                </c:pt>
                <c:pt idx="8">
                  <c:v>1648</c:v>
                </c:pt>
                <c:pt idx="9">
                  <c:v>1237</c:v>
                </c:pt>
                <c:pt idx="10">
                  <c:v>1185</c:v>
                </c:pt>
                <c:pt idx="11">
                  <c:v>1612</c:v>
                </c:pt>
                <c:pt idx="12">
                  <c:v>103</c:v>
                </c:pt>
                <c:pt idx="13">
                  <c:v>234</c:v>
                </c:pt>
              </c:numCache>
            </c:numRef>
          </c:val>
          <c:extLst xmlns:c16r2="http://schemas.microsoft.com/office/drawing/2015/06/chart">
            <c:ext xmlns:c16="http://schemas.microsoft.com/office/drawing/2014/chart" uri="{C3380CC4-5D6E-409C-BE32-E72D297353CC}">
              <c16:uniqueId val="{00000004-952E-4095-B226-AAB35B41F882}"/>
            </c:ext>
          </c:extLst>
        </c:ser>
        <c:dLbls>
          <c:showVal val="1"/>
        </c:dLbls>
        <c:gapWidth val="28"/>
        <c:axId val="97219712"/>
        <c:axId val="97221248"/>
        <c:extLst xmlns:c16r2="http://schemas.microsoft.com/office/drawing/2015/06/chart">
          <c:ext xmlns:c15="http://schemas.microsoft.com/office/drawing/2012/chart" uri="{02D57815-91ED-43cb-92C2-25804820EDAC}">
            <c15:filteredBarSeries>
              <c15:ser>
                <c:idx val="2"/>
                <c:order val="2"/>
                <c:spPr>
                  <a:solidFill>
                    <a:schemeClr val="accent3"/>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multiLvlStrRef>
                    <c:extLst>
                      <c:ex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c:ext uri="{02D57815-91ED-43cb-92C2-25804820EDAC}">
                        <c15:formulaRef>
                          <c15:sqref>Лист1!$E$1:$E$15</c15:sqref>
                        </c15:formulaRef>
                      </c:ext>
                    </c:extLst>
                    <c:numCache>
                      <c:formatCode>General</c:formatCode>
                      <c:ptCount val="15"/>
                    </c:numCache>
                  </c:numRef>
                </c:val>
                <c:extLst>
                  <c:ext xmlns:c16="http://schemas.microsoft.com/office/drawing/2014/chart" uri="{C3380CC4-5D6E-409C-BE32-E72D297353CC}">
                    <c16:uniqueId val="{00000005-952E-4095-B226-AAB35B41F882}"/>
                  </c:ext>
                </c:extLst>
              </c15:ser>
            </c15:filteredBarSeries>
            <c15:filteredBarSeries>
              <c15:ser>
                <c:idx val="3"/>
                <c:order val="3"/>
                <c:spPr>
                  <a:solidFill>
                    <a:schemeClr val="accent4"/>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xmlns:c15="http://schemas.microsoft.com/office/drawing/2012/chart">
                      <c:ext xmlns:c15="http://schemas.microsoft.com/office/drawing/2012/chart" uri="{02D57815-91ED-43cb-92C2-25804820EDAC}">
                        <c15:formulaRef>
                          <c15:sqref>Лист1!$F$1:$F$17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6-952E-4095-B226-AAB35B41F882}"/>
                  </c:ext>
                </c:extLst>
              </c15:ser>
            </c15:filteredBarSeries>
            <c15:filteredBarSeries>
              <c15:ser>
                <c:idx val="4"/>
                <c:order val="4"/>
                <c:spPr>
                  <a:solidFill>
                    <a:schemeClr val="accent5"/>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xmlns:c15="http://schemas.microsoft.com/office/drawing/2012/chart">
                      <c:ext xmlns:c15="http://schemas.microsoft.com/office/drawing/2012/chart" uri="{02D57815-91ED-43cb-92C2-25804820EDAC}">
                        <c15:formulaRef>
                          <c15:sqref>Лист1!$G$1:$G$17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7-952E-4095-B226-AAB35B41F882}"/>
                  </c:ext>
                </c:extLst>
              </c15:ser>
            </c15:filteredBarSeries>
            <c15:filteredBarSeries>
              <c15:ser>
                <c:idx val="5"/>
                <c:order val="5"/>
                <c:spPr>
                  <a:solidFill>
                    <a:schemeClr val="accent6"/>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xmlns:c15="http://schemas.microsoft.com/office/drawing/2012/chart">
                      <c:ext xmlns:c15="http://schemas.microsoft.com/office/drawing/2012/chart" uri="{02D57815-91ED-43cb-92C2-25804820EDAC}">
                        <c15:formulaRef>
                          <c15:sqref>Лист1!$H$1:$H$17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8-952E-4095-B226-AAB35B41F882}"/>
                  </c:ext>
                </c:extLst>
              </c15:ser>
            </c15:filteredBarSeries>
            <c15:filteredBarSeries>
              <c15:ser>
                <c:idx val="6"/>
                <c:order val="6"/>
                <c:spPr>
                  <a:solidFill>
                    <a:schemeClr val="accent1">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xmlns:c15="http://schemas.microsoft.com/office/drawing/2012/chart">
                      <c:ext xmlns:c15="http://schemas.microsoft.com/office/drawing/2012/chart" uri="{02D57815-91ED-43cb-92C2-25804820EDAC}">
                        <c15:formulaRef>
                          <c15:sqref>Лист1!$I$1:$I$17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9-952E-4095-B226-AAB35B41F882}"/>
                  </c:ext>
                </c:extLst>
              </c15:ser>
            </c15:filteredBarSeries>
            <c15:filteredBarSeries>
              <c15:ser>
                <c:idx val="7"/>
                <c:order val="7"/>
                <c:spPr>
                  <a:solidFill>
                    <a:schemeClr val="accent2">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xmlns:c15="http://schemas.microsoft.com/office/drawing/2012/chart">
                      <c:ext xmlns:c15="http://schemas.microsoft.com/office/drawing/2012/chart" uri="{02D57815-91ED-43cb-92C2-25804820EDAC}">
                        <c15:formulaRef>
                          <c15:sqref>Лист1!$J$1:$J$17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A-952E-4095-B226-AAB35B41F882}"/>
                  </c:ext>
                </c:extLst>
              </c15:ser>
            </c15:filteredBarSeries>
            <c15:filteredBarSeries>
              <c15:ser>
                <c:idx val="8"/>
                <c:order val="8"/>
                <c:spPr>
                  <a:solidFill>
                    <a:schemeClr val="accent3">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xmlns:c15="http://schemas.microsoft.com/office/drawing/2012/chart">
                      <c:ext xmlns:c15="http://schemas.microsoft.com/office/drawing/2012/chart" uri="{02D57815-91ED-43cb-92C2-25804820EDAC}">
                        <c15:formulaRef>
                          <c15:sqref>Лист1!$K$1:$K$17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B-952E-4095-B226-AAB35B41F882}"/>
                  </c:ext>
                </c:extLst>
              </c15:ser>
            </c15:filteredBarSeries>
            <c15:filteredBarSeries>
              <c15:ser>
                <c:idx val="9"/>
                <c:order val="9"/>
                <c:spPr>
                  <a:solidFill>
                    <a:schemeClr val="accent4">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xmlns:c15="http://schemas.microsoft.com/office/drawing/2012/chart">
                      <c:ext xmlns:c15="http://schemas.microsoft.com/office/drawing/2012/chart" uri="{02D57815-91ED-43cb-92C2-25804820EDAC}">
                        <c15:formulaRef>
                          <c15:sqref>Лист1!$L$1:$L$17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C-952E-4095-B226-AAB35B41F882}"/>
                  </c:ext>
                </c:extLst>
              </c15:ser>
            </c15:filteredBarSeries>
            <c15:filteredBarSeries>
              <c15:ser>
                <c:idx val="10"/>
                <c:order val="10"/>
                <c:spPr>
                  <a:solidFill>
                    <a:schemeClr val="accent5">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xmlns:c15="http://schemas.microsoft.com/office/drawing/2012/chart">
                      <c:ext xmlns:c15="http://schemas.microsoft.com/office/drawing/2012/chart" uri="{02D57815-91ED-43cb-92C2-25804820EDAC}">
                        <c15:formulaRef>
                          <c15:sqref>Лист1!$M$1:$M$17</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D-952E-4095-B226-AAB35B41F882}"/>
                  </c:ext>
                </c:extLst>
              </c15:ser>
            </c15:filteredBarSeries>
            <c15:filteredBarSeries>
              <c15:ser>
                <c:idx val="11"/>
                <c:order val="11"/>
                <c:spPr>
                  <a:solidFill>
                    <a:schemeClr val="accent6">
                      <a:lumMod val="60000"/>
                    </a:schemeClr>
                  </a:solidFill>
                  <a:ln>
                    <a:noFill/>
                  </a:ln>
                  <a:effectLst/>
                  <a:scene3d>
                    <a:camera prst="orthographicFront">
                      <a:rot lat="0" lon="0" rev="0"/>
                    </a:camera>
                    <a:lightRig rig="brightRoom" dir="tl">
                      <a:rot lat="0" lon="0" rev="1800000"/>
                    </a:lightRig>
                  </a:scene3d>
                  <a:sp3d contourW="10160" prstMaterial="dkEdge">
                    <a:bevelT w="38100" h="50800" prst="angle"/>
                    <a:contourClr>
                      <a:scrgbClr r="0" g="0" b="0">
                        <a:shade val="40000"/>
                        <a:satMod val="150000"/>
                      </a:scrgb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extLst xmlns:c15="http://schemas.microsoft.com/office/drawing/2012/chart">
                      <c:ext xmlns:c15="http://schemas.microsoft.com/office/drawing/2012/chart" uri="{02D57815-91ED-43cb-92C2-25804820EDAC}">
                        <c15:formulaRef>
                          <c15:sqref>Лист1!$A$1:$B$14</c15:sqref>
                        </c15:formulaRef>
                      </c:ext>
                    </c:extLst>
                    <c:multiLvlStrCache>
                      <c:ptCount val="14"/>
                      <c:lvl>
                        <c:pt idx="0">
                          <c:v>Державна реєстрація створення юридичної особи</c:v>
                        </c:pt>
                        <c:pt idx="1">
                          <c:v>Державна реєстрація фізичної особи - підприємця</c:v>
                        </c:pt>
                        <c:pt idx="2">
                          <c:v>Державна реєстрація змін до відомостей про юридичну особу, що містяться в Єдиному державному реєстрі</c:v>
                        </c:pt>
                        <c:pt idx="3">
                          <c:v>Державна реєстрація змін до відомостей про фізичну особу-підприємця</c:v>
                        </c:pt>
                        <c:pt idx="4">
                          <c:v>Державна реєстрація припинення фізичної особи-підприємця</c:v>
                        </c:pt>
                        <c:pt idx="5">
                          <c:v>Державна реєстрація припинення юридичної особи</c:v>
                        </c:pt>
                        <c:pt idx="6">
                          <c:v>Державна реєстрація інших реєстраційних змін</c:v>
                        </c:pt>
                        <c:pt idx="7">
                          <c:v>Державна реєстрація створення юридичної особи</c:v>
                        </c:pt>
                        <c:pt idx="8">
                          <c:v>Державна реєстрація фізичної особи - підприємця</c:v>
                        </c:pt>
                        <c:pt idx="9">
                          <c:v>Державна реєстрація змін до відомостей про юридичну особу, що містяться в Єдиному державному реєстрі</c:v>
                        </c:pt>
                        <c:pt idx="10">
                          <c:v>Державна реєстрація змін до відомостей про фізичну особу-підприємця</c:v>
                        </c:pt>
                        <c:pt idx="11">
                          <c:v>Державна реєстрація припинення фізичної особи-підприємця</c:v>
                        </c:pt>
                        <c:pt idx="12">
                          <c:v>Державна реєстрація припинення юридичної особи</c:v>
                        </c:pt>
                        <c:pt idx="13">
                          <c:v>Державна реєстрація інших реєстраційних змін</c:v>
                        </c:pt>
                      </c:lvl>
                      <c:lvl>
                        <c:pt idx="0">
                          <c:v>10 місяців 2018р.</c:v>
                        </c:pt>
                        <c:pt idx="7">
                          <c:v>10 місяців 2019 р.</c:v>
                        </c:pt>
                      </c:lvl>
                    </c:multiLvlStrCache>
                  </c:multiLvlStrRef>
                </c:cat>
                <c:val>
                  <c:numRef>
                    <c:extLst xmlns:c15="http://schemas.microsoft.com/office/drawing/2012/chart">
                      <c:ext xmlns:c15="http://schemas.microsoft.com/office/drawing/2012/chart" uri="{02D57815-91ED-43cb-92C2-25804820EDAC}">
                        <c15:formulaRef>
                          <c15:sqref>Лист1!$N$1:$N$18</c15:sqref>
                        </c15:formulaRef>
                      </c:ext>
                    </c:extLst>
                    <c:numCache>
                      <c:formatCode>General</c:formatCode>
                      <c:ptCount val="18"/>
                    </c:numCache>
                  </c:numRef>
                </c:val>
                <c:extLst xmlns:c15="http://schemas.microsoft.com/office/drawing/2012/chart">
                  <c:ext xmlns:c16="http://schemas.microsoft.com/office/drawing/2014/chart" uri="{C3380CC4-5D6E-409C-BE32-E72D297353CC}">
                    <c16:uniqueId val="{0000000E-952E-4095-B226-AAB35B41F882}"/>
                  </c:ext>
                </c:extLst>
              </c15:ser>
            </c15:filteredBarSeries>
          </c:ext>
        </c:extLst>
      </c:barChart>
      <c:catAx>
        <c:axId val="97219712"/>
        <c:scaling>
          <c:orientation val="minMax"/>
        </c:scaling>
        <c:axPos val="b"/>
        <c:numFmt formatCode="General" sourceLinked="0"/>
        <c:majorTickMark val="none"/>
        <c:tickLblPos val="nextTo"/>
        <c:spPr>
          <a:noFill/>
          <a:ln w="9525">
            <a:solidFill>
              <a:schemeClr val="tx1"/>
            </a:solidFill>
          </a:ln>
          <a:effectLst/>
        </c:spPr>
        <c:txPr>
          <a:bodyPr rot="-60000000" spcFirstLastPara="1" vertOverflow="ellipsis" vert="horz" wrap="square" anchor="ctr" anchorCtr="1"/>
          <a:lstStyle/>
          <a:p>
            <a:pPr>
              <a:defRPr sz="1050" b="1" i="0" u="none" strike="noStrike" kern="1200" baseline="0">
                <a:ln cap="flat" cmpd="dbl">
                  <a:solidFill>
                    <a:schemeClr val="tx1">
                      <a:alpha val="65000"/>
                    </a:schemeClr>
                  </a:solidFill>
                  <a:round/>
                  <a:tailEnd type="oval"/>
                </a:ln>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crossAx val="97221248"/>
        <c:crosses val="autoZero"/>
        <c:auto val="1"/>
        <c:lblAlgn val="ctr"/>
        <c:lblOffset val="100"/>
      </c:catAx>
      <c:valAx>
        <c:axId val="97221248"/>
        <c:scaling>
          <c:orientation val="minMax"/>
        </c:scaling>
        <c:axPos val="l"/>
        <c:majorGridlines>
          <c:spPr>
            <a:ln w="9525" cap="flat" cmpd="sng" algn="ctr">
              <a:solidFill>
                <a:schemeClr val="dk1">
                  <a:lumMod val="50000"/>
                  <a:lumOff val="5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effectLst>
                  <a:glow rad="127000">
                    <a:schemeClr val="bg1">
                      <a:lumMod val="85000"/>
                    </a:schemeClr>
                  </a:glow>
                  <a:innerShdw blurRad="76200" dist="50800" dir="5400000">
                    <a:prstClr val="black">
                      <a:alpha val="50000"/>
                    </a:prstClr>
                  </a:innerShdw>
                </a:effectLst>
                <a:latin typeface="+mn-lt"/>
                <a:ea typeface="+mn-ea"/>
                <a:cs typeface="+mn-cs"/>
              </a:defRPr>
            </a:pPr>
            <a:endParaRPr lang="ru-RU"/>
          </a:p>
        </c:txPr>
        <c:crossAx val="97219712"/>
        <c:crosses val="autoZero"/>
        <c:crossBetween val="between"/>
      </c:valAx>
      <c:spPr>
        <a:solidFill>
          <a:schemeClr val="bg1">
            <a:lumMod val="65000"/>
          </a:schemeClr>
        </a:solidFill>
        <a:ln>
          <a:noFill/>
        </a:ln>
        <a:effectLst/>
      </c:spPr>
    </c:plotArea>
    <c:plotVisOnly val="1"/>
    <c:dispBlanksAs val="zero"/>
  </c:chart>
  <c:spPr>
    <a:solidFill>
      <a:schemeClr val="bg1">
        <a:lumMod val="75000"/>
      </a:schemeClr>
    </a:solidFill>
    <a:ln>
      <a:noFill/>
    </a:ln>
    <a:effectLst>
      <a:softEdge rad="114300"/>
    </a:effectLst>
    <a:scene3d>
      <a:camera prst="orthographicFront"/>
      <a:lightRig rig="threePt" dir="t"/>
    </a:scene3d>
    <a:sp3d prstMaterial="matte"/>
  </c:spPr>
  <c:txPr>
    <a:bodyPr/>
    <a:lstStyle/>
    <a:p>
      <a:pPr>
        <a:defRPr>
          <a:solidFill>
            <a:schemeClr val="dk1"/>
          </a:solidFill>
          <a:effectLst>
            <a:glow rad="127000">
              <a:schemeClr val="bg1">
                <a:lumMod val="85000"/>
              </a:schemeClr>
            </a:glow>
            <a:innerShdw blurRad="76200" dist="50800" dir="5400000">
              <a:prstClr val="black">
                <a:alpha val="50000"/>
              </a:prstClr>
            </a:innerShdw>
          </a:effectLst>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Pages>
  <Words>1312</Words>
  <Characters>7483</Characters>
  <Application>Microsoft Office Word</Application>
  <DocSecurity>0</DocSecurity>
  <Lines>62</Lines>
  <Paragraphs>17</Paragraphs>
  <ScaleCrop>false</ScaleCrop>
  <Company>Reanimator Extreme Edition</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2019-12-21T10:03:00Z</dcterms:created>
  <dcterms:modified xsi:type="dcterms:W3CDTF">2019-12-21T10:04:00Z</dcterms:modified>
</cp:coreProperties>
</file>