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B" w:rsidRDefault="00E5645B" w:rsidP="00E564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до рішення</w:t>
      </w:r>
    </w:p>
    <w:p w:rsidR="00E5645B" w:rsidRDefault="00E5645B" w:rsidP="00E564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виконавчого комітету</w:t>
      </w:r>
    </w:p>
    <w:p w:rsidR="00E5645B" w:rsidRDefault="00E5645B" w:rsidP="00E564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11.12 .2019р. №1145</w:t>
      </w:r>
    </w:p>
    <w:p w:rsidR="00E5645B" w:rsidRDefault="00E5645B" w:rsidP="00E5645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ЗВІТ</w:t>
      </w:r>
    </w:p>
    <w:p w:rsidR="00E5645B" w:rsidRDefault="00E5645B" w:rsidP="00E56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роботу управління освіти і науки Тернопільської міської ради </w:t>
      </w:r>
    </w:p>
    <w:p w:rsidR="00E5645B" w:rsidRDefault="00E5645B" w:rsidP="00E56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2018- 2019 роки</w:t>
      </w:r>
    </w:p>
    <w:p w:rsidR="00E5645B" w:rsidRDefault="00E5645B" w:rsidP="00E56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освіти і науки Тернопільської міської ради ( надалі-Управління)  є виконавчим органом Тернопільської міської ради, утворюється міською радою, їй підзвітне і підконтрольне, підпорядковується виконавчому комітету, міському голові, а з питань здійснення делегованих йому повноважень підконтрольне управлінню освіти і науки Тернопільської  обласної державної  адміністрації.</w:t>
      </w:r>
    </w:p>
    <w:p w:rsidR="00E5645B" w:rsidRDefault="00E5645B" w:rsidP="00E56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у своїй діяльності керується Конституцією України, законами України, актами Президента України і Кабінету Міністрів України, наказами та іншими нормативно-правовими документами профільного міністерства, рішеннями Тернопільської міської ради та її виконавчого комітету,розпорядженнями міського голови, стандартом ISO 9001, Настановою з якості та Положенням.</w:t>
      </w:r>
    </w:p>
    <w:p w:rsidR="00E5645B" w:rsidRDefault="00E5645B" w:rsidP="00E56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Чисельність працівників у штатному розписі   становить 15( п’ятнадцять) осіб. Фактична чисельність працівників Управління  станом на 01.12.2019 року становить 14( чотирнадцять) штатних одиниць.</w:t>
      </w:r>
    </w:p>
    <w:tbl>
      <w:tblPr>
        <w:tblStyle w:val="-4"/>
        <w:tblW w:w="5000" w:type="pct"/>
        <w:tblInd w:w="0" w:type="dxa"/>
        <w:tblLook w:val="04A0"/>
      </w:tblPr>
      <w:tblGrid>
        <w:gridCol w:w="2463"/>
        <w:gridCol w:w="2464"/>
        <w:gridCol w:w="2464"/>
        <w:gridCol w:w="2464"/>
      </w:tblGrid>
      <w:tr w:rsidR="00E5645B" w:rsidTr="00E5645B">
        <w:trPr>
          <w:cnfStyle w:val="100000000000"/>
        </w:trPr>
        <w:tc>
          <w:tcPr>
            <w:cnfStyle w:val="001000000000"/>
            <w:tcW w:w="1250" w:type="pct"/>
            <w:hideMark/>
          </w:tcPr>
          <w:p w:rsidR="00E5645B" w:rsidRDefault="00E5645B">
            <w:pPr>
              <w:jc w:val="center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Фонд оплати праці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2018 рік (грн.)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10 місяців 2018 року  (грн.)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10 місяців 2019 року  (грн.)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1250" w:type="pct"/>
            <w:hideMark/>
          </w:tcPr>
          <w:p w:rsidR="00E5645B" w:rsidRDefault="00E5645B">
            <w:pP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Нарахована заробітна плата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2382600,0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1787565,20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2165292,88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1250" w:type="pct"/>
            <w:hideMark/>
          </w:tcPr>
          <w:p w:rsidR="00E5645B" w:rsidRDefault="00E5645B">
            <w:pP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uk-UA" w:eastAsia="en-US"/>
              </w:rPr>
              <w:t>В тому числі премія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01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654326,17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01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318948,84</w:t>
            </w:r>
          </w:p>
        </w:tc>
        <w:tc>
          <w:tcPr>
            <w:tcW w:w="1250" w:type="pct"/>
            <w:hideMark/>
          </w:tcPr>
          <w:p w:rsidR="00E5645B" w:rsidRDefault="00E5645B">
            <w:pPr>
              <w:jc w:val="center"/>
              <w:cnfStyle w:val="000000010000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396222,21</w:t>
            </w:r>
          </w:p>
        </w:tc>
      </w:tr>
    </w:tbl>
    <w:p w:rsidR="00E5645B" w:rsidRDefault="00E5645B" w:rsidP="00E56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Пріоритетними  напрямами роботи  управління освіти і науки за звітний період були:</w:t>
      </w:r>
    </w:p>
    <w:p w:rsidR="00E5645B" w:rsidRDefault="00E5645B" w:rsidP="00E56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в галузі освіти і виховання;</w:t>
      </w:r>
    </w:p>
    <w:p w:rsidR="00E5645B" w:rsidRDefault="00E5645B" w:rsidP="00E56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стану освіти в Тернопільській міській територіальній громаді, прогнозування розвитку та удосконалення мережі закладів дошкільної, загальної середньої, позашкільної та професійно-технічної освіти;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отримання освіти дітьми з особливими освітніми потребами;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сучасних інформаційних технологій в управлінській діяльності, забезпечення належного науково-методичного супроводу освітнього процесу при переході на оновлені державні стандарти;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утримання та розвиток матеріально-технічної бази закладів освіти на рівні, достатньому для виконання вимог стандартів освіти та ліцензійних вимог, створення безпечного середовища в закладах;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соціального захисту учнів, вихованців шляхом організації харчування, медичного супроводу, оздоровлення тощо;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професійних компетентностей педагогічних працівників закладів освіти, впровадження системи підвищення кваліфікації педагогічних працівників в умовах реформування галузі освіти, атестація педагогів;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конкурсу на заміщення вакантних посад керівників закладів загальної середньої та професійно-технічної освіти;</w:t>
      </w:r>
    </w:p>
    <w:p w:rsidR="00E5645B" w:rsidRDefault="00E5645B" w:rsidP="00E56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творчих педагогів і педагогічних колективів, стимулювання талановитої учнівської молоді;</w:t>
      </w:r>
    </w:p>
    <w:p w:rsidR="00E5645B" w:rsidRDefault="00E5645B" w:rsidP="00E56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завдань Концепції національно-патріотичного виховання у закладах освіти.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важливих освітянських завдань є розвиток дошкільної освіти у громаді та забезпечення права дітей на освіту з особливими потребами. Протягом звітного  періоду  збережено контингент вихованців у закладах дошкільної освіти. Станом на 01.12.2019 року  в закладах дошкільної освіти (надалі ЗДО) 10028 вихованців. У цьому році за кошти громади відкрито дошкільні групи при Чернихівській загальноосвітній школі I-III ступенів.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організацію харчування дітей відповідно до встановлених законодавством норм, організовано безкоштовне харчування:</w:t>
      </w:r>
    </w:p>
    <w:p w:rsidR="00E5645B" w:rsidRDefault="00E5645B" w:rsidP="00E56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352 дітей, батьки, яких мають статус учасників АТО/ООС; </w:t>
      </w:r>
    </w:p>
    <w:p w:rsidR="00E5645B" w:rsidRDefault="00E5645B" w:rsidP="00E56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269 дітей санаторних(для дітей із латентною тубінфекцією), спеціальних та інклюзивних груп; </w:t>
      </w:r>
    </w:p>
    <w:p w:rsidR="00E5645B" w:rsidRDefault="00E5645B" w:rsidP="00E56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104 дітей-сиріт, дітей позбавлених батьківського піклування та дітей інвалідів; </w:t>
      </w:r>
    </w:p>
    <w:p w:rsidR="00E5645B" w:rsidRDefault="00E5645B" w:rsidP="00E56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182 дітей із малозабезпечених сімей. 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в закладах дошкільної освіти безкоштовним харчуванням забезпечено 907 дітей, ще 860 дітей із багатодітних родин отримують харчування за 50 % від встановленої батьківської плати.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Оновлено платформу системи електронного запису дітей до закладів дошкільної освіти. Відповідно до рішення виконавчого комітету від 22.05.2019 року № 482 «Про внесення змін та доповнень до рішення виконавчого комітету Тернопільської міської ради від 15.05.2018 року № 378 «Про зарахування дітей до закладів дошкільної освіти та навчально-виховних комплексів м. Тернополя» дану послугу щодо реєстрації дітей у садки передано у ЦНАП. 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 року до закладів дошкільної освіти фактично  оформлено 3185 дітей, у черзі обліковується 453 дітей, які потребують зарахування.</w:t>
      </w:r>
    </w:p>
    <w:tbl>
      <w:tblPr>
        <w:tblStyle w:val="-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5645B" w:rsidTr="00E5645B">
        <w:trPr>
          <w:cnfStyle w:val="1000000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 xml:space="preserve">Мережа груп у закладах дошкільної освіти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Загалом кількість груп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 них: переддошкільного віку (2-3роки),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дошкільного віку (3-6(7років),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компенсуючого типу;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круглодобові,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групи з 12-ти годинним режимом роботи;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інклюзивні групи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дітей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10360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10028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Збережено та розширено мережу груп спеціального та інклюзивного навчання у закладах. У 2019 році у закладах відкрито 36 груп компенсую- чого типу, з них: 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групи для дітей з порушенням слуху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 2);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груп для дітей з порушенням мови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2, ТНВК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28);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груп для дітей із затримкою психічного розвитку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 2,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8,№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34,ТНВК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28);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груп для дітей з порушенням зору (ДНЗ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27);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груп для дітей з латентною туберкульозною інфекцією та після вилікування від туберкульозу (ДНЗ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6,№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37);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групи для дітей з хронічними неспецифічними захворюваннями органів дихання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ДНЗ № 19);</w:t>
      </w:r>
    </w:p>
    <w:p w:rsidR="00E5645B" w:rsidRDefault="00E5645B" w:rsidP="00E564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інклюзивних груп. </w:t>
      </w:r>
    </w:p>
    <w:tbl>
      <w:tblPr>
        <w:tblStyle w:val="-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5645B" w:rsidTr="00E5645B">
        <w:trPr>
          <w:cnfStyle w:val="1000000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  корекції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Порушення слуху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Порушення мови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Розумова відсталість, затримка психічного розвитку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Латентна туберкульозна інфекція та вилікування від туберкульозу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Хронічні неспецифічні захворювання органів  дихання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Порушення зору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Затримка психічного розвитку/ порушення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мови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Інклюзивне та спеціальне навчання надається лише за бажанням батьків. У всі інклюзивні групи введено посаду асистента вихователя.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сьогоднішній день управління освіти і науки працює над впровадженням он-лайн черги в заклади дошкільної, загальної середньої та позашкільної освіти відповідно до Концепції розвитку е-урядування.</w:t>
      </w:r>
    </w:p>
    <w:p w:rsidR="00E5645B" w:rsidRDefault="00E5645B" w:rsidP="00E5645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перевантаженість груп, продовжено виплати вихователям ЗДО за перевищення планових нормативів наповнюваності груп. З ініціативи управління освіти і науки запроваджено муніципальну надбавку вихователям у розмірі 10%, на що з бюджету громади додано 2 млн. грн.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Головне завдання освітньої галузі –це надання якісних освітніх послуг.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рівного доступу мешканців до якісної освіти у громаді сформовано оптимальну мережу закладів освіти, яка задовольняє потреби учнів та їх батьків, враховує освітні запити, забезпечує ефективне використання фінансових, матеріально-технічних та кадрових ресурсів.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мережі закладів загальної середньої освіти протягом 2018-2019 навчального року відбулися зміни. Відповідно до рішення сесії Тернопільської міської ради від 14 листопада 2018 року  № 7 п. 29/1 «Про добровільне приєднання до Тернопільської міської територіальної громади» до  переліку закладів загальної середньої освіти Тернопільської міської ради внесено заклади загальної середньої освіти: Курівецьку загальноосвітню школу І-ІІ ступенів імені Миколи Бенцаля; Кобзарівську загальноосвітню школу І-ІІІ ступенів; Чернихівську загальноосвітню школу  І-ІІІ ступенів.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Відповідно до рішення сесії  Тернопільської міської ради від 06.06.2019 року №7/35/148 «Про реорганізацію Тернопільської вечірньої школи  Тернопільської міської ради Тернопільської області  шляхом  приєднання до Тернопільської загальноосвітньої школи І-ІІІ ступенів № 10», класи з вечірньою формою навчання функціонують у ТЗОШ № 10.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Право громадян на отримання дошкільної, початкової, базової, повної загальної середньої та позашкільної освіти забезпечують.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38 закладів  дошкільної  освіти;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41 заклад загальної  середньої освіти;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 заклади  позашкільної  освіти.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м. Тернополі спостерігається позитивна демографічна ситуація. Тенденція до збільшення чисельності учнів залишається і в цьому навчальному році. До навчання у 2019-2020 навчальному році приступило 28913 учнів проти  27773 учнів  у 2018-2019 навчальному році (на 1140 учнів більше), що вплинуло на збільшення кількості класів, а саме:  1028 класів проти 988  у попередньому  році (на  40 класів більше). Середня наповнюваність класів у 2019 році становить 28 учнів.</w:t>
      </w:r>
    </w:p>
    <w:tbl>
      <w:tblPr>
        <w:tblStyle w:val="-3"/>
        <w:tblW w:w="0" w:type="auto"/>
        <w:tblInd w:w="0" w:type="dxa"/>
        <w:tblLook w:val="04A0"/>
      </w:tblPr>
      <w:tblGrid>
        <w:gridCol w:w="2982"/>
        <w:gridCol w:w="2267"/>
        <w:gridCol w:w="2055"/>
        <w:gridCol w:w="2267"/>
      </w:tblGrid>
      <w:tr w:rsidR="00E5645B" w:rsidTr="00E5645B">
        <w:trPr>
          <w:cnfStyle w:val="100000000000"/>
        </w:trPr>
        <w:tc>
          <w:tcPr>
            <w:cnfStyle w:val="001000000000"/>
            <w:tcW w:w="2982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Мережа закладів загальної середньої освіти</w:t>
            </w:r>
          </w:p>
        </w:tc>
        <w:tc>
          <w:tcPr>
            <w:tcW w:w="2267" w:type="dxa"/>
          </w:tcPr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2018</w:t>
            </w:r>
          </w:p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2019</w:t>
            </w:r>
          </w:p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Розбіжність </w:t>
            </w:r>
          </w:p>
          <w:p w:rsidR="00E5645B" w:rsidRDefault="00E5645B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2982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Кількість закладів </w:t>
            </w:r>
          </w:p>
        </w:tc>
        <w:tc>
          <w:tcPr>
            <w:tcW w:w="2267" w:type="dxa"/>
            <w:hideMark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055" w:type="dxa"/>
            <w:hideMark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267" w:type="dxa"/>
            <w:hideMark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2982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Кількість класів,</w:t>
            </w:r>
          </w:p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 них:</w:t>
            </w:r>
          </w:p>
          <w:p w:rsidR="00E5645B" w:rsidRDefault="00E5645B" w:rsidP="00CF2D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інклюзивні класи</w:t>
            </w:r>
          </w:p>
          <w:p w:rsidR="00E5645B" w:rsidRDefault="00E5645B" w:rsidP="00CF2D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класи, у яких до 15 учнів</w:t>
            </w:r>
          </w:p>
          <w:p w:rsidR="00E5645B" w:rsidRDefault="00E5645B" w:rsidP="00CF2D0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класи, у яких організовано навчання за індивідуальною формою (педагогічний патронаж)</w:t>
            </w:r>
          </w:p>
        </w:tc>
        <w:tc>
          <w:tcPr>
            <w:tcW w:w="2267" w:type="dxa"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988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55" w:type="dxa"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1028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(с.Кобзарівка -4, с.Курівці-3, с.Чернихів-2)</w:t>
            </w:r>
          </w:p>
        </w:tc>
        <w:tc>
          <w:tcPr>
            <w:tcW w:w="2267" w:type="dxa"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2982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Кількість учнів,</w:t>
            </w:r>
          </w:p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 них:</w:t>
            </w:r>
          </w:p>
          <w:p w:rsidR="00E5645B" w:rsidRDefault="00E5645B" w:rsidP="00CF2D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класи з вечірньою формою навчання</w:t>
            </w:r>
          </w:p>
          <w:p w:rsidR="00E5645B" w:rsidRDefault="00E5645B" w:rsidP="00CF2D0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діти, які навчаються в умовах інклюзії </w:t>
            </w:r>
          </w:p>
        </w:tc>
        <w:tc>
          <w:tcPr>
            <w:tcW w:w="2267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27773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55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28913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267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2982" w:type="dxa"/>
            <w:hideMark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Кількість ГПД</w:t>
            </w:r>
          </w:p>
        </w:tc>
        <w:tc>
          <w:tcPr>
            <w:tcW w:w="2267" w:type="dxa"/>
            <w:hideMark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055" w:type="dxa"/>
            <w:hideMark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267" w:type="dxa"/>
            <w:hideMark/>
          </w:tcPr>
          <w:p w:rsidR="00E5645B" w:rsidRDefault="00E5645B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2982" w:type="dxa"/>
          </w:tcPr>
          <w:p w:rsidR="00E5645B" w:rsidRDefault="00E5645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</w:tcPr>
          <w:p w:rsidR="00E5645B" w:rsidRDefault="00E5645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Однак,  проблемою системи освіти  залишається двозмінне навчання у  закладах загальної середньої освіти (ТЗОШ № 13, ТНВК № 6, ТСШ№ 3, ТСШ № 5, ТЗОШ№ 16, ТНВК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9, ТСШ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29). 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місті створено освітнє середовище, яке  реалізує права на освіту дітей з особливими потребами за місцем проживання, їх соціалізації та інтеграції в 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суспільство. Слід зазначити, що кількість класів з інклюзивною формою навчання у 2019-2020 навчальному році збільшилась, функціонує 49 класів у 19 закладах загальної середньої освіти, у яких навчається 84 учні в умовах інклюзії, це на 16 класів та на 24 учні більше  у порівнянні з минулим 2018-2019 навчальним роком.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році проведено тендерні процедури по закупівлі транспортного засобу для ІРЦ (інклюзивно ресурсного центру).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запитів батьків, з метою гармонійного об’єднання навчання і виховання; організації позаурочної  діяльності та дозвілля дітей відповідно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їх інтересів і бажань; надання їм кваліфікованої допомоги у виконанні домашніх завдань; запобігання дитячій бездоглядності та безпритульності організовано роботу 152 груп продовженого дня (117 груп у минулому році).                                                                                             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особливому контролі перебуває питання техніки безпеки учасників освітнього процесу. Проводиться відповідна робота щодо попередження нещасних випадків, а в разі їх виникнення здійснюється службове розслідування.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аспектом збереження здоров’я учнів є створення умов для раціонального харчування дітей протягом перебування у школі. Питання організації харчування дітей у навчальних закладах залишається одним із найбільш актуальних та заслуговує на особливу увагу.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Санітарно-гігієнічний стан харчоблоків задовільний. Маркування посуду відповідає санітарно-гігієнічним нормам. Система холодного та гарячого водопостачання знаходиться у робочому стані. Всі харчоблоки забезпечені дезінфікуючими, миючими засобами відповідно до санітарних вимог.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Важливу роль в організації раціонального та безпечного харчування учнів відіграє належна матеріально-технічна база харчоблоків шкіл.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Із наданням харчоблоків у довгострокову оренду  суб’єктам підприємницької діяльності, які займаються організацією харчування у школах міста, змінився зовнішній вигляд обідніх залів та харчоблоків у ТЗОШ № 4,11, 13,14,16, 18, 20, 24, 25, 28, ТНВК № 6 ім. Н. Яремчука, № 9 ім. І. Блажкевич, № 15, ТСШ № 17, ТЛ №21, СПІМ, СПОЕ. Постійно забезпечується оновлення посуду.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слід зазначити, що через тривалий термін експлуатації та зношеність, технологічне та холодильне обладнання й надалі потребує подальшого оновлення на нове, сучасне, енергозберігаюче.</w:t>
      </w:r>
    </w:p>
    <w:p w:rsidR="00E5645B" w:rsidRDefault="00E5645B" w:rsidP="00E5645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Структурним підрозділом управління освіти і науки є Тернопільський комунальний методичний центр науково-освітніх інновацій та моніторингу, яким протягом звітного періоду було організовано і проведено більше 500 науково-методичних заходів, тренінгів, семінарів тощо.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авторських нововведень серед методичних центрів України Тернопіль  єдиний відібраний і затверджений Національною Академією Педагогічних Наук учасником усеукраїнського академічного експерименту.  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Підтримка та розвиток обдарованості є одним із пріоритетних напрямків сучасної освіти, оскільки поступ будь-якої країни, регіону, міста залежить  саме від здатності її громадян нестандартно, креативно мислити, впроваджувати перспективні інновації в різні сфери суспільного життя. Вжиті заходи позитивно вплинули на результати, отримані учнями шкіл у конкурсах, олімпіадах, МАН. </w:t>
      </w:r>
    </w:p>
    <w:tbl>
      <w:tblPr>
        <w:tblStyle w:val="-2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5645B" w:rsidTr="00E5645B">
        <w:trPr>
          <w:cnfStyle w:val="100000000000"/>
        </w:trPr>
        <w:tc>
          <w:tcPr>
            <w:cnfStyle w:val="001000000000"/>
            <w:tcW w:w="3190" w:type="dxa"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2019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Іменні стипендії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Кращий учень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Переможці ІІІ етапу  всеукраїнських предметних олімпіад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Переможці 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етапу  всеукраїнських предметних олімпіад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 «200 балів»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(ІІІ місце серед міст обласного значення)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(ІІ місце серед міст обласного значення)</w:t>
            </w:r>
          </w:p>
        </w:tc>
      </w:tr>
    </w:tbl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45B" w:rsidRDefault="00E5645B" w:rsidP="00E56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міської Програми розвитку освіти виплачено грошові премії переможцям предметних олімпіад та іменні стипендії  90 учням.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ЗНО-2019 шестеро випускників міста отримали 200 балів та нагороджені преміями Тернопільської міської ради в розмірі 2000 грн. Щомісячно виплачується стипендія трьом студентам, які навчаються у Тернопільському медичному університеті, в розмірі 1000 грн.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ЗНО міст обласного значення у 2019 році Тернопіль займає ІІ місце після Києва.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учнів є переможцямизахисту науково-дослідницьких робіт Малої Академії Наук України та предметних олімпіад.  7 учнів отримують стипендію Кабінету Міністрів України та Президента України.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Учасниками одина́дцятої Міжнародної олімпіади юних геніїв у Сполучених Штатах Америки і зльоту молодих науковців у Лондоні були випускники Української гімназії імені Івана Франка Надія Касянчук і Петро Волошин, який посів четверте місце у світовому рейтингу.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Випускниця Тернопільської спеціалізованої школи № 3 з поглибленим вивченням іноземних мов Анастасія Стаханська стала  бронзовим призером на міжнародному конкурсі інновацій в галузі науки та технологій для підлітків у Китаї.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Андрій Співак, учень ТЗОШ № 19, став переможцем Міжнародного чемпіонату з розв’язування логічних задач у Франції.</w:t>
      </w:r>
    </w:p>
    <w:p w:rsidR="00E5645B" w:rsidRDefault="00E5645B" w:rsidP="00E5645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Відповідно до Програми розвитку освіти на 2017-2019 роки виплачено грошові премії переможцям предметних олімпіад та іменні стипендії  90 учням.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Започатковано вручення одноразових премій Тернопільської міської ради для науковців міста Тернополя. Премію отримали 5 науковців та педагог-новатор.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П’ятий рік поспіль Тернопіль успішно виступає на престижному освітянському заході–Міжнародній виставці «Сучасні заклади освіти».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році здобули 11 медалей, з яких – 5 золотих, 4 срібних  та 2 бронзових.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патріотизму в українському суспільстві залишається першочерговим як для держави, так і для системи освіти в цілому. Національно-патріотичне виховання є важливим сектором освітнього процесу.Управлінням освіти і науки Тернопільської міської ради, Тернопільським комунальним методичним центром науково-освітніх інновацій та моніторингу, закладами освіти здійснюється системна, оптимальна організація відповідної виховної роботи, спрямована на підвищення рівня патріотизму молодого покоління.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Основниминапрями виховної роботи є: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виховання захисника Вітчизни;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героїко-патріотичне виховання;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збереження національно-культурної спадщини;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краєзнавство та музейна педагогіка;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екологія рідної мови;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громадянська активність, лідерство  ;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підтримка благодійних, екологічних, соціальних молодіжних ініціатив і проєктів.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духовному та політичному житті кожного народу є події та роки, які назавжди входять в історію й визначають його місце і роль у світових цивілізованих процесах. Саме у цьому році у Галицькому коледжіім. В.Чорновола вдалося успішно реалізувати Громадський бюджет та відкрити в одній із лекційних аудиторій сучасний Музей національної слави.У ТЗОШ № 20 відкрито музей Руслана Муляра,  розпочато роботу над музейним комплексом української вишивки у ТЗОШ  № 19.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ТСШ І-ІІІ ст. 3 з поглибленим вивченням іноземних мов стала переможцем проєкту «Збереження символіки народних ремесел» у рамках транскордонної співпраці (Польща-Білорусь-Україна).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місті збережена мережа закладів позашкільної освіти. У чотирьох закладах працює 313 груп, які відвідує 4155 вихованців. Покращено і матеріально-технічну базу закладів позашкільної освіти. У 2019 році в КЗ ТМР «Станція юних техніків» відкрито сучасну лабораторію робототехніки. Сьогодні позашкільні заклади здобули більше двох десятків перемог на міжнародному рівні.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Управлінням освіти і науки проводиться постійний контроль за виконанням вимог чинного законодавства з питань захисту прав та інтересів дітей-сиріт та дітей, позбавлених батьківського піклування. Діти цієї категорії забезпечені Єдиними квитками.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оновлюється банк даних дітей пільгових категорій. Організовано безкоштовне харчування для дітей із малозабезпечених сімей, </w:t>
      </w:r>
      <w:r>
        <w:rPr>
          <w:rFonts w:ascii="Times New Roman" w:hAnsi="Times New Roman" w:cs="Times New Roman"/>
          <w:sz w:val="28"/>
          <w:szCs w:val="28"/>
        </w:rPr>
        <w:lastRenderedPageBreak/>
        <w:t>дітей-сиріт та дітей, позбавлених батьківського піклування, дітей учасників АТО/ООС, дітей, які навчаються в інклюзивних класах.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Щорічно  Тернопільською міською радою виділяються кошти  на оздоровлення дітей, які потребують особливої соціальної уваги та підтримки. 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Другий рік поспіль успішно працював пришкільний табір на базі ТНВК № 30; у 2019 році було організовано пришкільний табір на базі ТЛ № 21-СМШ ім.І.Герети.  Мовні табори діяли у 10 навчальних закладах.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Одним із пріоритетних напрямків роботи з кадрового забезпечення є впровадження багаторівневої системи підвищення кваліфікації педагогічних працівників. Таким інноваційним поступом є впровадження системи підвищення кваліфікації педагогічних працівників в умовах реформування галузі освіти. Освітяни міста перші, і єдині в Україні,  здобули ліцензію на додаткову освітню діяльність.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базі управління освіти і науки у 2019 році відбулося засідання секції «Асоціація міст України».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і науки щорічно здійснює атестацію педагогічних  працівників, що дає змогу визначити рівень знань, умінь, творчості педагогів, об’єктивно оцінити їх діяльність, що веде до зростання якісного складу педагогічних колективів. У 2019 році проатестовано 462 педагогічних працівників. Атестацію  проведено згідно із планом. Звернень до міської атестаційної комісії із заявами про перегляд рішення шкільних атестаційних комісійне було.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2019 році організовано та проведено 3 конкурси на заміщення вакантних посад керівників закладів загальної середньої освіти (ТСШ № 3, ТЗОШ № 10, 16). На сьогоднішній день триває конкурс на заміщення вакантної посади директора ТСШ № 5.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подальшого утвердження відкритої і демократичної державно-громадської системи управління освітою, стимулювання впливу громадськості на прийняття та виконання керівниками закладів освіти відповідних рішень у сфері управління закладом відповідно до статті 39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27 серпня 2010 р. № 778,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 січня 2005 р. № 55, по завершенню навчального року керівники закладів дошкільної, загальної середньої, позашкільної та професійно-технічної освіти звітують перед педагогічним колективом, батьківською громадськістю про виконану роботу за навчальний рік. 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Особливу увагу управління освіти і науки звертає на формування державно-громадської моделі управління. Успішно діє колегія управління освіти і науки Тернопільської міської ради, на засіданнях якої розглядаються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актуальні різнопланові питання, приймаються вмотивовані рішення, які виконуються через накази управління освіти і науки. 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Важливий напрямок діяльності управління – організація роботи з розгляду звернень громадян та їх особистого прийому.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Стан роботи зі зверненнями громадян щотижня розглядається на апаратних нарадах у начальника управління, заслуховується на колегії управління освіти і науки та знаходиться на постійному контролі в начальника та його заступників.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Працівниками управління не допускається надання неоднозначних, необґрунтованих відповідей, порушень встановлених законодавством термінів, безпідставної передачі звернень для розгляду іншим органам. За звітний період порушень терміну розгляду звернень не допущено.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 метою  розширення  міжнародного  освітянського  співробітництва,  підтримки  ініціативи  та  співпраці   в  спільних  Європейських  проєктах  управлінням  освіти і науки,  адміністраціями  закладів освіти проводиться  робота  з розширення можливостей учасників освітнього процесу щодо ознайомлення з особливостями та ефективним досвідом управління в європейських країнах  через:</w:t>
      </w:r>
    </w:p>
    <w:p w:rsidR="00E5645B" w:rsidRDefault="00E5645B" w:rsidP="00E564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інтернет - ресурсів (Міжнародних порталів, сайтів);</w:t>
      </w:r>
    </w:p>
    <w:p w:rsidR="00E5645B" w:rsidRDefault="00E5645B" w:rsidP="00E564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 освітян із закордонними партнерами;</w:t>
      </w:r>
    </w:p>
    <w:p w:rsidR="00E5645B" w:rsidRDefault="00E5645B" w:rsidP="00E564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до співпраці міжнародних неурядових організацій, фондів, освітньо-культурних центрів, батьківської громадськості.</w:t>
      </w:r>
    </w:p>
    <w:p w:rsidR="00E5645B" w:rsidRDefault="00E5645B" w:rsidP="00E5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міжнародної співпраці  діє більше двох десятків спільних проєктів. Проводиться обмін делегаціями з метою поширення та вивчення досвіду роботи  навчальних закладів Тернополя з Німеччиною, Польщею, Естонією, Англією тощо.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ефективної діяльності освітянської галузі  з бюджету громади було виділено близько 54 млн. грн. на капітальний ремонт навчальних закладів. Міська рада долучилася до співфінансування забезпечення закладів освіти відповідно до реформи НУШ. </w:t>
      </w:r>
    </w:p>
    <w:tbl>
      <w:tblPr>
        <w:tblStyle w:val="-1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5645B" w:rsidTr="00E5645B">
        <w:trPr>
          <w:cnfStyle w:val="100000000000"/>
        </w:trPr>
        <w:tc>
          <w:tcPr>
            <w:cnfStyle w:val="001000000000"/>
            <w:tcW w:w="3190" w:type="dxa"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р., тис.грн.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р.,тис.грн.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Громадський бюджет 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3680,8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5482,5</w:t>
            </w:r>
          </w:p>
        </w:tc>
      </w:tr>
      <w:tr w:rsidR="00E5645B" w:rsidTr="00E5645B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Фонд розвитку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33585,9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45213,0</w:t>
            </w:r>
          </w:p>
        </w:tc>
      </w:tr>
      <w:tr w:rsidR="00E5645B" w:rsidTr="00E5645B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5645B" w:rsidRDefault="00E5645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Видатки загального фонду</w:t>
            </w:r>
          </w:p>
        </w:tc>
        <w:tc>
          <w:tcPr>
            <w:tcW w:w="3190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490207,9</w:t>
            </w:r>
          </w:p>
        </w:tc>
        <w:tc>
          <w:tcPr>
            <w:tcW w:w="3191" w:type="dxa"/>
            <w:hideMark/>
          </w:tcPr>
          <w:p w:rsidR="00E5645B" w:rsidRDefault="00E5645B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554162,2</w:t>
            </w:r>
          </w:p>
        </w:tc>
      </w:tr>
    </w:tbl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шляхів вирішення кадрових питань у дошкільній сфері  стало впровадження муніципального замовлення. Оплачується навчання в магістратурі 8 студентам спеціальності «Дошкільна освіта».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Продовжується здійснення міжбюджетних трансферів, внаслідок яких у міський бюджет додатково надійшло 4,9 млн.грн.На реалізацію проєктів </w:t>
      </w:r>
      <w:r>
        <w:rPr>
          <w:rFonts w:ascii="Times New Roman" w:hAnsi="Times New Roman" w:cs="Times New Roman"/>
          <w:sz w:val="28"/>
          <w:szCs w:val="28"/>
        </w:rPr>
        <w:lastRenderedPageBreak/>
        <w:t>громадського бюджету виділено 5,4 млн.грн., що стало суттєвою допомогою навчальним закладам.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 виплачується в повному обсязі та у встановлені терміни, а  дефіцит державних коштів покривається бюджетом громади.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справ розвитку освіти в Тернопільській міській територіальній громаді вимагає подальшого удосконалення мережі закладів освіти, зміцнення їх навчально-матеріальної бази, формування позитивної громадської думки щодо необхідності отримання дітьми якісної освіти та дієвої підтримки міської ради.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       О.П. Похиляк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              Л.О. Бицюра</w:t>
      </w: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45B" w:rsidRDefault="00E5645B" w:rsidP="00E56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С.В. Надал</w:t>
      </w:r>
    </w:p>
    <w:p w:rsidR="00000000" w:rsidRDefault="00E5645B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E52"/>
    <w:multiLevelType w:val="hybridMultilevel"/>
    <w:tmpl w:val="D09A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78D0"/>
    <w:multiLevelType w:val="hybridMultilevel"/>
    <w:tmpl w:val="36DE572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52542"/>
    <w:multiLevelType w:val="hybridMultilevel"/>
    <w:tmpl w:val="1BC2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5042B"/>
    <w:multiLevelType w:val="hybridMultilevel"/>
    <w:tmpl w:val="0A280E6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E5261"/>
    <w:multiLevelType w:val="hybridMultilevel"/>
    <w:tmpl w:val="0EBE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44DD3"/>
    <w:multiLevelType w:val="hybridMultilevel"/>
    <w:tmpl w:val="F5F07C28"/>
    <w:lvl w:ilvl="0" w:tplc="281411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5645B"/>
    <w:rsid w:val="00E5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5B"/>
    <w:pPr>
      <w:ind w:left="720"/>
      <w:contextualSpacing/>
    </w:pPr>
    <w:rPr>
      <w:lang w:val="ru-RU" w:eastAsia="ru-RU"/>
    </w:rPr>
  </w:style>
  <w:style w:type="table" w:styleId="-1">
    <w:name w:val="Light Grid Accent 1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E5645B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14271</Words>
  <Characters>8136</Characters>
  <Application>Microsoft Office Word</Application>
  <DocSecurity>0</DocSecurity>
  <Lines>67</Lines>
  <Paragraphs>44</Paragraphs>
  <ScaleCrop>false</ScaleCrop>
  <Company>Reanimator Extreme Edition</Company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2019-12-13T13:36:00Z</dcterms:created>
  <dcterms:modified xsi:type="dcterms:W3CDTF">2019-12-13T13:37:00Z</dcterms:modified>
</cp:coreProperties>
</file>